
<file path=[Content_Types].xml><?xml version="1.0" encoding="utf-8"?>
<Types xmlns="http://schemas.openxmlformats.org/package/2006/content-types">
  <Default Extension="xml" ContentType="application/xml"/>
  <Default Extension="wmf" ContentType="image/x-wmf"/>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3FEE81">
      <w:pPr>
        <w:pStyle w:val="2"/>
      </w:pPr>
      <w:r>
        <w:t>4　电容器的电容</w:t>
      </w:r>
    </w:p>
    <w:p w14:paraId="55911039">
      <w:pPr>
        <w:pStyle w:val="2"/>
      </w:pPr>
      <w:r>
        <w:t>第1课时</w:t>
      </w:r>
      <w:r>
        <w:rPr>
          <w:rFonts w:hint="eastAsia" w:ascii="微软雅黑" w:hAnsi="微软雅黑" w:eastAsia="微软雅黑" w:cs="微软雅黑"/>
        </w:rPr>
        <w:t>　</w:t>
      </w:r>
      <w:r>
        <w:rPr>
          <w:rFonts w:hint="eastAsia" w:ascii="幼圆" w:hAnsi="幼圆" w:cs="幼圆"/>
        </w:rPr>
        <w:t>电容器的电容</w:t>
      </w:r>
    </w:p>
    <w:p w14:paraId="262DA02F">
      <w:pPr>
        <w:tabs>
          <w:tab w:val="left" w:pos="2127"/>
          <w:tab w:val="left" w:pos="4395"/>
          <w:tab w:val="left" w:pos="6521"/>
        </w:tabs>
        <w:spacing w:line="360" w:lineRule="auto"/>
        <w:rPr>
          <w:rFonts w:ascii="Times New Roman" w:hAnsi="Times New Roman"/>
        </w:rPr>
      </w:pPr>
      <w:r>
        <w:rPr>
          <w:rFonts w:ascii="Times New Roman" w:hAnsi="Times New Roman" w:eastAsia="黑体"/>
        </w:rPr>
        <w:t>[学习目标]</w:t>
      </w:r>
      <w:r>
        <w:rPr>
          <w:rFonts w:ascii="Times New Roman" w:hAnsi="Times New Roman"/>
        </w:rPr>
        <w:t>　1.</w:t>
      </w:r>
      <w:r>
        <w:rPr>
          <w:rFonts w:ascii="Times New Roman" w:hAnsi="Times New Roman" w:eastAsia="新宋体"/>
        </w:rPr>
        <w:t>知道什么是电容器及电容器的主要构造。</w:t>
      </w:r>
      <w:r>
        <w:rPr>
          <w:rFonts w:ascii="Times New Roman" w:hAnsi="Times New Roman"/>
        </w:rPr>
        <w:t>2.</w:t>
      </w:r>
      <w:r>
        <w:rPr>
          <w:rFonts w:ascii="Times New Roman" w:hAnsi="Times New Roman" w:eastAsia="新宋体"/>
        </w:rPr>
        <w:t>理解电容的概念及其定义式(重难点)。</w:t>
      </w:r>
      <w:r>
        <w:rPr>
          <w:rFonts w:ascii="Times New Roman" w:hAnsi="Times New Roman"/>
        </w:rPr>
        <w:t>3.</w:t>
      </w:r>
      <w:r>
        <w:rPr>
          <w:rFonts w:ascii="Times New Roman" w:hAnsi="Times New Roman" w:eastAsia="新宋体"/>
        </w:rPr>
        <w:t>知道电容器充、放电的实验原理和实验电路。</w:t>
      </w:r>
    </w:p>
    <w:p w14:paraId="5579BC81">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一、电容器</w:t>
      </w:r>
    </w:p>
    <w:p w14:paraId="681490AA">
      <w:pPr>
        <w:tabs>
          <w:tab w:val="left" w:pos="2127"/>
          <w:tab w:val="left" w:pos="4395"/>
          <w:tab w:val="left" w:pos="6521"/>
        </w:tabs>
        <w:spacing w:line="360" w:lineRule="auto"/>
        <w:rPr>
          <w:rFonts w:ascii="Times New Roman" w:hAnsi="Times New Roman"/>
        </w:rPr>
      </w:pPr>
      <w:r>
        <w:rPr>
          <w:rFonts w:ascii="Times New Roman" w:hAnsi="Times New Roman"/>
          <w:w w:val="104"/>
        </w:rPr>
        <w:t>1.基本构造：任何两个彼此</w:t>
      </w:r>
      <w:r>
        <w:rPr>
          <w:rFonts w:ascii="Times New Roman" w:hAnsi="Times New Roman"/>
          <w:w w:val="104"/>
          <w:u w:val="single"/>
        </w:rPr>
        <w:t>　　　　</w:t>
      </w:r>
      <w:r>
        <w:rPr>
          <w:rFonts w:ascii="Times New Roman" w:hAnsi="Times New Roman"/>
          <w:w w:val="104"/>
        </w:rPr>
        <w:t>又相距很近的导体，都可以看成一个电容器。 </w:t>
      </w:r>
    </w:p>
    <w:p w14:paraId="52A04440">
      <w:pPr>
        <w:tabs>
          <w:tab w:val="left" w:pos="2127"/>
          <w:tab w:val="left" w:pos="4395"/>
          <w:tab w:val="left" w:pos="6521"/>
        </w:tabs>
        <w:spacing w:line="360" w:lineRule="auto"/>
        <w:rPr>
          <w:rFonts w:ascii="Times New Roman" w:hAnsi="Times New Roman"/>
        </w:rPr>
      </w:pPr>
      <w:r>
        <w:rPr>
          <w:rFonts w:ascii="Times New Roman" w:hAnsi="Times New Roman"/>
          <w:w w:val="104"/>
        </w:rPr>
        <w:t>2.充电、放电：</w:t>
      </w:r>
    </w:p>
    <w:p w14:paraId="0263A302">
      <w:pPr>
        <w:tabs>
          <w:tab w:val="left" w:pos="2127"/>
          <w:tab w:val="left" w:pos="4395"/>
          <w:tab w:val="left" w:pos="6521"/>
        </w:tabs>
        <w:spacing w:line="360" w:lineRule="auto"/>
        <w:rPr>
          <w:rFonts w:ascii="Times New Roman" w:hAnsi="Times New Roman"/>
        </w:rPr>
      </w:pPr>
      <w:r>
        <w:rPr>
          <w:rFonts w:ascii="Times New Roman" w:hAnsi="Times New Roman"/>
          <w:w w:val="104"/>
        </w:rPr>
        <w:t>(1)充电：把电容器的两个极板与电源的</w:t>
      </w:r>
      <w:r>
        <w:rPr>
          <w:rFonts w:ascii="Times New Roman" w:hAnsi="Times New Roman"/>
          <w:w w:val="104"/>
          <w:u w:val="single"/>
        </w:rPr>
        <w:t>　　　　</w:t>
      </w:r>
      <w:r>
        <w:rPr>
          <w:rFonts w:ascii="Times New Roman" w:hAnsi="Times New Roman"/>
          <w:w w:val="104"/>
        </w:rPr>
        <w:t>相连，使两个极板上带上</w:t>
      </w:r>
      <w:r>
        <w:rPr>
          <w:rFonts w:ascii="Times New Roman" w:hAnsi="Times New Roman"/>
          <w:w w:val="104"/>
          <w:u w:val="single"/>
        </w:rPr>
        <w:t>　　　　　　　</w:t>
      </w:r>
      <w:r>
        <w:rPr>
          <w:rFonts w:ascii="Times New Roman" w:hAnsi="Times New Roman"/>
          <w:w w:val="104"/>
        </w:rPr>
        <w:t>的过程。充电后，跟电源正极相连的极板带</w:t>
      </w:r>
      <w:r>
        <w:rPr>
          <w:rFonts w:ascii="Times New Roman" w:hAnsi="Times New Roman"/>
          <w:w w:val="104"/>
          <w:u w:val="single"/>
        </w:rPr>
        <w:t>　　　</w:t>
      </w:r>
      <w:r>
        <w:rPr>
          <w:rFonts w:ascii="Times New Roman" w:hAnsi="Times New Roman"/>
          <w:w w:val="104"/>
        </w:rPr>
        <w:t>电，跟电源负极相连的极板带</w:t>
      </w:r>
      <w:r>
        <w:rPr>
          <w:rFonts w:ascii="Times New Roman" w:hAnsi="Times New Roman"/>
          <w:w w:val="104"/>
          <w:u w:val="single"/>
        </w:rPr>
        <w:t>　　　</w:t>
      </w:r>
      <w:r>
        <w:rPr>
          <w:rFonts w:ascii="Times New Roman" w:hAnsi="Times New Roman"/>
          <w:w w:val="104"/>
        </w:rPr>
        <w:t>电。充电过程如图(a)、(b)所示。 </w:t>
      </w:r>
    </w:p>
    <w:p w14:paraId="174AFB74">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2627630" cy="1582420"/>
            <wp:effectExtent l="0" t="0" r="1270" b="0"/>
            <wp:docPr id="623" name="image2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 name="image282.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627630" cy="1582420"/>
                    </a:xfrm>
                    <a:prstGeom prst="rect">
                      <a:avLst/>
                    </a:prstGeom>
                    <a:noFill/>
                    <a:ln>
                      <a:noFill/>
                    </a:ln>
                  </pic:spPr>
                </pic:pic>
              </a:graphicData>
            </a:graphic>
          </wp:inline>
        </w:drawing>
      </w:r>
    </w:p>
    <w:p w14:paraId="3172A261">
      <w:pPr>
        <w:tabs>
          <w:tab w:val="left" w:pos="2127"/>
          <w:tab w:val="left" w:pos="4395"/>
          <w:tab w:val="left" w:pos="6521"/>
        </w:tabs>
        <w:spacing w:line="360" w:lineRule="auto"/>
        <w:rPr>
          <w:rFonts w:ascii="Times New Roman" w:hAnsi="Times New Roman"/>
        </w:rPr>
      </w:pPr>
      <w:r>
        <w:rPr>
          <w:rFonts w:ascii="Times New Roman" w:hAnsi="Times New Roman"/>
          <w:w w:val="104"/>
        </w:rPr>
        <w:t>(2)放电：用导线把充电后的电容器的</w:t>
      </w:r>
      <w:r>
        <w:rPr>
          <w:rFonts w:ascii="Times New Roman" w:hAnsi="Times New Roman"/>
          <w:w w:val="104"/>
          <w:u w:val="single"/>
        </w:rPr>
        <w:t>　　　　</w:t>
      </w:r>
      <w:r>
        <w:rPr>
          <w:rFonts w:ascii="Times New Roman" w:hAnsi="Times New Roman"/>
          <w:w w:val="104"/>
        </w:rPr>
        <w:t>接通，两个极板上的电荷</w:t>
      </w:r>
      <w:r>
        <w:rPr>
          <w:rFonts w:ascii="Times New Roman" w:hAnsi="Times New Roman"/>
          <w:w w:val="104"/>
          <w:u w:val="single"/>
        </w:rPr>
        <w:t>　　　　</w:t>
      </w:r>
      <w:r>
        <w:rPr>
          <w:rFonts w:ascii="Times New Roman" w:hAnsi="Times New Roman"/>
          <w:w w:val="104"/>
        </w:rPr>
        <w:t>，电容器失去电荷的过程。放电后，电容器任一极板带电荷量均为</w:t>
      </w:r>
      <w:r>
        <w:rPr>
          <w:rFonts w:ascii="Times New Roman" w:hAnsi="Times New Roman"/>
          <w:w w:val="104"/>
          <w:u w:val="single"/>
        </w:rPr>
        <w:t>　　　</w:t>
      </w:r>
      <w:r>
        <w:rPr>
          <w:rFonts w:ascii="Times New Roman" w:hAnsi="Times New Roman"/>
          <w:w w:val="104"/>
        </w:rPr>
        <w:t>。放电过程如图(c)、(d)所示。 </w:t>
      </w:r>
    </w:p>
    <w:p w14:paraId="49FE27CA">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2662555" cy="1442085"/>
            <wp:effectExtent l="0" t="0" r="4445" b="5715"/>
            <wp:docPr id="624" name="image2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image283.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662555" cy="1442085"/>
                    </a:xfrm>
                    <a:prstGeom prst="rect">
                      <a:avLst/>
                    </a:prstGeom>
                    <a:noFill/>
                    <a:ln>
                      <a:noFill/>
                    </a:ln>
                  </pic:spPr>
                </pic:pic>
              </a:graphicData>
            </a:graphic>
          </wp:inline>
        </w:drawing>
      </w:r>
    </w:p>
    <w:p w14:paraId="401CBE4B">
      <w:pPr>
        <w:tabs>
          <w:tab w:val="left" w:pos="2127"/>
          <w:tab w:val="left" w:pos="4395"/>
          <w:tab w:val="left" w:pos="6521"/>
        </w:tabs>
        <w:spacing w:line="360" w:lineRule="auto"/>
        <w:rPr>
          <w:rFonts w:ascii="Times New Roman" w:hAnsi="Times New Roman"/>
        </w:rPr>
      </w:pPr>
      <w:r>
        <w:rPr>
          <w:rFonts w:ascii="Times New Roman" w:hAnsi="Times New Roman"/>
          <w:w w:val="104"/>
        </w:rPr>
        <w:t>3.从能量的角度区分充电与放电：充电是从电源获得能量储存在电容器中，放电是把电容器中的</w:t>
      </w:r>
      <w:r>
        <w:rPr>
          <w:rFonts w:ascii="Times New Roman" w:hAnsi="Times New Roman"/>
          <w:w w:val="104"/>
          <w:u w:val="single"/>
        </w:rPr>
        <w:t>　　　　</w:t>
      </w:r>
      <w:r>
        <w:rPr>
          <w:rFonts w:ascii="Times New Roman" w:hAnsi="Times New Roman"/>
          <w:w w:val="104"/>
        </w:rPr>
        <w:t>通过电流做功转化为电路中其他形式的能量。 </w:t>
      </w:r>
    </w:p>
    <w:p w14:paraId="18BF262D">
      <w:pPr>
        <w:tabs>
          <w:tab w:val="left" w:pos="2127"/>
          <w:tab w:val="left" w:pos="4395"/>
          <w:tab w:val="left" w:pos="6521"/>
        </w:tabs>
        <w:spacing w:line="360" w:lineRule="auto"/>
        <w:rPr>
          <w:rFonts w:ascii="Times New Roman" w:hAnsi="Times New Roman"/>
        </w:rPr>
      </w:pPr>
      <w:r>
        <w:rPr>
          <w:rFonts w:ascii="Times New Roman" w:hAnsi="Times New Roman"/>
          <w:w w:val="104"/>
        </w:rPr>
        <w:t>4.电容器的电荷量：其中</w:t>
      </w:r>
      <w:r>
        <w:rPr>
          <w:rFonts w:ascii="Times New Roman" w:hAnsi="Times New Roman"/>
          <w:w w:val="104"/>
          <w:u w:val="single"/>
        </w:rPr>
        <w:t>　　　　</w:t>
      </w:r>
      <w:r>
        <w:rPr>
          <w:rFonts w:ascii="Times New Roman" w:hAnsi="Times New Roman"/>
          <w:w w:val="104"/>
        </w:rPr>
        <w:t>极板所带电荷量的绝对值。 </w:t>
      </w:r>
    </w:p>
    <w:p w14:paraId="43FA0D06">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683260" cy="215900"/>
            <wp:effectExtent l="0" t="0" r="2540" b="0"/>
            <wp:docPr id="625" name="image2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image284.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683260" cy="215900"/>
                    </a:xfrm>
                    <a:prstGeom prst="rect">
                      <a:avLst/>
                    </a:prstGeom>
                    <a:noFill/>
                    <a:ln>
                      <a:noFill/>
                    </a:ln>
                  </pic:spPr>
                </pic:pic>
              </a:graphicData>
            </a:graphic>
          </wp:inline>
        </w:drawing>
      </w:r>
    </w:p>
    <w:p w14:paraId="7E5F5870">
      <w:pPr>
        <w:tabs>
          <w:tab w:val="left" w:pos="2127"/>
          <w:tab w:val="left" w:pos="4395"/>
          <w:tab w:val="left" w:pos="6521"/>
        </w:tabs>
        <w:spacing w:line="360" w:lineRule="auto"/>
        <w:rPr>
          <w:rFonts w:ascii="Times New Roman" w:hAnsi="Times New Roman"/>
        </w:rPr>
      </w:pPr>
      <w:r>
        <w:rPr>
          <w:rFonts w:ascii="Times New Roman" w:hAnsi="Times New Roman" w:eastAsia="楷体"/>
        </w:rPr>
        <w:t>(</w:t>
      </w:r>
      <w:r>
        <w:rPr>
          <w:rFonts w:ascii="Times New Roman" w:hAnsi="Times New Roman"/>
        </w:rPr>
        <w:t>1</w:t>
      </w:r>
      <w:r>
        <w:rPr>
          <w:rFonts w:ascii="Times New Roman" w:hAnsi="Times New Roman" w:eastAsia="楷体"/>
        </w:rPr>
        <w:t>)电容器只能储存同种电荷。(</w:t>
      </w:r>
      <w:r>
        <w:rPr>
          <w:rFonts w:ascii="Times New Roman" w:hAnsi="Times New Roman"/>
        </w:rPr>
        <w:t>　　</w:t>
      </w:r>
      <w:r>
        <w:rPr>
          <w:rFonts w:ascii="Times New Roman" w:hAnsi="Times New Roman" w:eastAsia="楷体"/>
        </w:rPr>
        <w:t>)</w:t>
      </w:r>
    </w:p>
    <w:p w14:paraId="50531919">
      <w:pPr>
        <w:tabs>
          <w:tab w:val="left" w:pos="2127"/>
          <w:tab w:val="left" w:pos="4395"/>
          <w:tab w:val="left" w:pos="6521"/>
        </w:tabs>
        <w:spacing w:line="360" w:lineRule="auto"/>
        <w:rPr>
          <w:rFonts w:ascii="Times New Roman" w:hAnsi="Times New Roman"/>
        </w:rPr>
      </w:pPr>
      <w:r>
        <w:rPr>
          <w:rFonts w:ascii="Times New Roman" w:hAnsi="Times New Roman" w:eastAsia="楷体"/>
        </w:rPr>
        <w:t>(</w:t>
      </w:r>
      <w:r>
        <w:rPr>
          <w:rFonts w:ascii="Times New Roman" w:hAnsi="Times New Roman"/>
        </w:rPr>
        <w:t>2</w:t>
      </w:r>
      <w:r>
        <w:rPr>
          <w:rFonts w:ascii="Times New Roman" w:hAnsi="Times New Roman" w:eastAsia="楷体"/>
        </w:rPr>
        <w:t>)电容器带电时，只有一个极板上有电荷。(</w:t>
      </w:r>
      <w:r>
        <w:rPr>
          <w:rFonts w:ascii="Times New Roman" w:hAnsi="Times New Roman"/>
        </w:rPr>
        <w:t>　　</w:t>
      </w:r>
      <w:r>
        <w:rPr>
          <w:rFonts w:ascii="Times New Roman" w:hAnsi="Times New Roman" w:eastAsia="楷体"/>
        </w:rPr>
        <w:t>)</w:t>
      </w:r>
    </w:p>
    <w:p w14:paraId="6511FA3C">
      <w:pPr>
        <w:tabs>
          <w:tab w:val="left" w:pos="2127"/>
          <w:tab w:val="left" w:pos="4395"/>
          <w:tab w:val="left" w:pos="6521"/>
        </w:tabs>
        <w:spacing w:line="360" w:lineRule="auto"/>
        <w:rPr>
          <w:rFonts w:ascii="Times New Roman" w:hAnsi="Times New Roman"/>
        </w:rPr>
      </w:pPr>
      <w:r>
        <w:rPr>
          <w:rFonts w:ascii="Times New Roman" w:hAnsi="Times New Roman" w:eastAsia="楷体"/>
        </w:rPr>
        <w:t>(</w:t>
      </w:r>
      <w:r>
        <w:rPr>
          <w:rFonts w:ascii="Times New Roman" w:hAnsi="Times New Roman"/>
        </w:rPr>
        <w:t>3</w:t>
      </w:r>
      <w:r>
        <w:rPr>
          <w:rFonts w:ascii="Times New Roman" w:hAnsi="Times New Roman" w:eastAsia="楷体"/>
        </w:rPr>
        <w:t>)一个极板带电荷量是</w:t>
      </w:r>
      <w:r>
        <w:rPr>
          <w:rFonts w:ascii="Times New Roman" w:hAnsi="Times New Roman"/>
          <w:i/>
        </w:rPr>
        <w:t>Q</w:t>
      </w:r>
      <w:r>
        <w:rPr>
          <w:rFonts w:ascii="Times New Roman" w:hAnsi="Times New Roman" w:eastAsia="楷体"/>
        </w:rPr>
        <w:t>，则电容器的电荷量为</w:t>
      </w:r>
      <w:r>
        <w:rPr>
          <w:rFonts w:ascii="Times New Roman" w:hAnsi="Times New Roman"/>
        </w:rPr>
        <w:t>2</w:t>
      </w:r>
      <w:r>
        <w:rPr>
          <w:rFonts w:ascii="Times New Roman" w:hAnsi="Times New Roman"/>
          <w:i/>
        </w:rPr>
        <w:t>Q</w:t>
      </w:r>
      <w:r>
        <w:rPr>
          <w:rFonts w:ascii="Times New Roman" w:hAnsi="Times New Roman" w:eastAsia="楷体"/>
        </w:rPr>
        <w:t>。(</w:t>
      </w:r>
      <w:r>
        <w:rPr>
          <w:rFonts w:ascii="Times New Roman" w:hAnsi="Times New Roman"/>
        </w:rPr>
        <w:t>　　</w:t>
      </w:r>
      <w:r>
        <w:rPr>
          <w:rFonts w:ascii="Times New Roman" w:hAnsi="Times New Roman" w:eastAsia="楷体"/>
        </w:rPr>
        <w:t>)</w:t>
      </w:r>
    </w:p>
    <w:p w14:paraId="6CC89908">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二、电容</w:t>
      </w:r>
    </w:p>
    <w:p w14:paraId="691D7ED4">
      <w:pPr>
        <w:tabs>
          <w:tab w:val="left" w:pos="2127"/>
          <w:tab w:val="left" w:pos="4395"/>
          <w:tab w:val="left" w:pos="6521"/>
        </w:tabs>
        <w:spacing w:line="360" w:lineRule="auto"/>
        <w:rPr>
          <w:rFonts w:ascii="Times New Roman" w:hAnsi="Times New Roman"/>
        </w:rPr>
      </w:pPr>
      <w:r>
        <w:rPr>
          <w:rFonts w:ascii="Times New Roman" w:hAnsi="Times New Roman"/>
          <w:w w:val="104"/>
        </w:rPr>
        <w:t>1.电容</w:t>
      </w:r>
    </w:p>
    <w:p w14:paraId="7F11FC2F">
      <w:pPr>
        <w:tabs>
          <w:tab w:val="left" w:pos="2127"/>
          <w:tab w:val="left" w:pos="4395"/>
          <w:tab w:val="left" w:pos="6521"/>
        </w:tabs>
        <w:spacing w:line="360" w:lineRule="auto"/>
        <w:rPr>
          <w:rFonts w:ascii="Times New Roman" w:hAnsi="Times New Roman"/>
        </w:rPr>
      </w:pPr>
      <w:r>
        <w:rPr>
          <w:rFonts w:ascii="Times New Roman" w:hAnsi="Times New Roman"/>
          <w:w w:val="104"/>
        </w:rPr>
        <w:t>(1)定义：电容器所带的</w:t>
      </w:r>
      <w:r>
        <w:rPr>
          <w:rFonts w:ascii="Times New Roman" w:hAnsi="Times New Roman"/>
          <w:w w:val="104"/>
          <w:u w:val="single"/>
        </w:rPr>
        <w:t>　　　　　</w:t>
      </w:r>
      <w:r>
        <w:rPr>
          <w:rFonts w:ascii="Times New Roman" w:hAnsi="Times New Roman"/>
          <w:w w:val="104"/>
        </w:rPr>
        <w:t>与电容器两极板之间的</w:t>
      </w:r>
      <w:r>
        <w:rPr>
          <w:rFonts w:ascii="Times New Roman" w:hAnsi="Times New Roman"/>
          <w:w w:val="104"/>
          <w:u w:val="single"/>
        </w:rPr>
        <w:t>　　　　　</w:t>
      </w:r>
      <w:r>
        <w:rPr>
          <w:rFonts w:ascii="Times New Roman" w:hAnsi="Times New Roman"/>
          <w:w w:val="104"/>
        </w:rPr>
        <w:t>之比，叫作电容器的电容。 </w:t>
      </w:r>
    </w:p>
    <w:p w14:paraId="585BBB9E">
      <w:pPr>
        <w:tabs>
          <w:tab w:val="left" w:pos="2127"/>
          <w:tab w:val="left" w:pos="4395"/>
          <w:tab w:val="left" w:pos="6521"/>
        </w:tabs>
        <w:spacing w:line="360" w:lineRule="auto"/>
        <w:rPr>
          <w:rFonts w:ascii="Times New Roman" w:hAnsi="Times New Roman"/>
        </w:rPr>
      </w:pPr>
      <w:r>
        <w:rPr>
          <w:rFonts w:ascii="Times New Roman" w:hAnsi="Times New Roman"/>
          <w:w w:val="104"/>
        </w:rPr>
        <w:t>(2)定义式：</w:t>
      </w:r>
      <w:r>
        <w:rPr>
          <w:rFonts w:ascii="Times New Roman" w:hAnsi="Times New Roman"/>
          <w:w w:val="104"/>
          <w:u w:val="single"/>
        </w:rPr>
        <w:t>　　　　　</w:t>
      </w:r>
      <w:r>
        <w:rPr>
          <w:rFonts w:ascii="Times New Roman" w:hAnsi="Times New Roman"/>
          <w:w w:val="104"/>
        </w:rPr>
        <w:t>(比值定义法)，</w:t>
      </w:r>
      <w:r>
        <w:rPr>
          <w:rFonts w:ascii="Times New Roman" w:hAnsi="Times New Roman"/>
          <w:i/>
          <w:w w:val="104"/>
        </w:rPr>
        <w:t>Q</w:t>
      </w:r>
      <w:r>
        <w:rPr>
          <w:rFonts w:ascii="Times New Roman" w:hAnsi="Times New Roman"/>
          <w:w w:val="104"/>
        </w:rPr>
        <w:t>指一个极板所带电荷量的绝对值。 </w:t>
      </w:r>
    </w:p>
    <w:p w14:paraId="7CC282FC">
      <w:pPr>
        <w:tabs>
          <w:tab w:val="left" w:pos="2127"/>
          <w:tab w:val="left" w:pos="4395"/>
          <w:tab w:val="left" w:pos="6521"/>
        </w:tabs>
        <w:spacing w:line="360" w:lineRule="auto"/>
        <w:rPr>
          <w:rFonts w:ascii="Times New Roman" w:hAnsi="Times New Roman"/>
        </w:rPr>
      </w:pPr>
      <w:r>
        <w:rPr>
          <w:rFonts w:ascii="Times New Roman" w:hAnsi="Times New Roman"/>
          <w:w w:val="104"/>
        </w:rPr>
        <w:t>(3)电容的国际单位：</w:t>
      </w:r>
      <w:r>
        <w:rPr>
          <w:rFonts w:ascii="Times New Roman" w:hAnsi="Times New Roman"/>
          <w:w w:val="104"/>
          <w:u w:val="single"/>
        </w:rPr>
        <w:t>　　　　</w:t>
      </w:r>
      <w:r>
        <w:rPr>
          <w:rFonts w:ascii="Times New Roman" w:hAnsi="Times New Roman"/>
          <w:w w:val="104"/>
        </w:rPr>
        <w:t>，简称：</w:t>
      </w:r>
      <w:r>
        <w:rPr>
          <w:rFonts w:ascii="Times New Roman" w:hAnsi="Times New Roman"/>
          <w:w w:val="104"/>
          <w:u w:val="single"/>
        </w:rPr>
        <w:t>　　　</w:t>
      </w:r>
      <w:r>
        <w:rPr>
          <w:rFonts w:ascii="Times New Roman" w:hAnsi="Times New Roman"/>
          <w:w w:val="104"/>
        </w:rPr>
        <w:t>，用字母</w:t>
      </w:r>
      <w:r>
        <w:rPr>
          <w:rFonts w:ascii="Times New Roman" w:hAnsi="Times New Roman"/>
          <w:w w:val="104"/>
          <w:u w:val="single"/>
        </w:rPr>
        <w:t>　　　</w:t>
      </w:r>
      <w:r>
        <w:rPr>
          <w:rFonts w:ascii="Times New Roman" w:hAnsi="Times New Roman"/>
          <w:w w:val="104"/>
        </w:rPr>
        <w:t>表示，常用的单位还有微法和皮法，1 F=</w:t>
      </w:r>
      <w:r>
        <w:rPr>
          <w:rFonts w:ascii="Times New Roman" w:hAnsi="Times New Roman"/>
          <w:w w:val="104"/>
          <w:u w:val="single"/>
        </w:rPr>
        <w:t>　　　　</w:t>
      </w:r>
      <w:r>
        <w:rPr>
          <w:rFonts w:ascii="Times New Roman" w:hAnsi="Times New Roman"/>
          <w:w w:val="104"/>
        </w:rPr>
        <w:t xml:space="preserve"> μF=</w:t>
      </w:r>
      <w:r>
        <w:rPr>
          <w:rFonts w:ascii="Times New Roman" w:hAnsi="Times New Roman"/>
          <w:w w:val="104"/>
          <w:u w:val="single"/>
        </w:rPr>
        <w:t>　　　　</w:t>
      </w:r>
      <w:r>
        <w:rPr>
          <w:rFonts w:ascii="Times New Roman" w:hAnsi="Times New Roman"/>
          <w:w w:val="104"/>
        </w:rPr>
        <w:t xml:space="preserve"> pF。 </w:t>
      </w:r>
    </w:p>
    <w:p w14:paraId="60578A52">
      <w:pPr>
        <w:tabs>
          <w:tab w:val="left" w:pos="2127"/>
          <w:tab w:val="left" w:pos="4395"/>
          <w:tab w:val="left" w:pos="6521"/>
        </w:tabs>
        <w:spacing w:line="360" w:lineRule="auto"/>
        <w:rPr>
          <w:rFonts w:ascii="Times New Roman" w:hAnsi="Times New Roman"/>
        </w:rPr>
      </w:pPr>
      <w:r>
        <w:rPr>
          <w:rFonts w:ascii="Times New Roman" w:hAnsi="Times New Roman"/>
          <w:w w:val="104"/>
        </w:rPr>
        <w:t>(4)物理意义：描述电容器容纳电荷本领大小的物理量。</w:t>
      </w:r>
    </w:p>
    <w:p w14:paraId="582D4A18">
      <w:pPr>
        <w:tabs>
          <w:tab w:val="left" w:pos="2127"/>
          <w:tab w:val="left" w:pos="4395"/>
          <w:tab w:val="left" w:pos="6521"/>
        </w:tabs>
        <w:spacing w:line="360" w:lineRule="auto"/>
        <w:rPr>
          <w:rFonts w:ascii="Times New Roman" w:hAnsi="Times New Roman"/>
        </w:rPr>
      </w:pPr>
      <w:r>
        <w:rPr>
          <w:rFonts w:ascii="Times New Roman" w:hAnsi="Times New Roman"/>
          <w:w w:val="104"/>
        </w:rPr>
        <w:t>(5)由</w:t>
      </w:r>
      <w:r>
        <w:rPr>
          <w:rFonts w:ascii="Times New Roman" w:hAnsi="Times New Roman"/>
          <w:i/>
          <w:w w:val="104"/>
        </w:rPr>
        <w:t>C</w:t>
      </w:r>
      <w:r>
        <w:rPr>
          <w:rFonts w:ascii="Times New Roman" w:hAnsi="Times New Roman"/>
          <w:w w:val="104"/>
        </w:rPr>
        <w:t>=</w:t>
      </w:r>
      <m:oMath>
        <m:f>
          <m:fPr>
            <m:ctrlPr>
              <w:rPr>
                <w:rFonts w:ascii="Cambria Math" w:hAnsi="Cambria Math"/>
              </w:rPr>
            </m:ctrlPr>
          </m:fPr>
          <m:num>
            <m:r>
              <m:rPr/>
              <w:rPr>
                <w:rFonts w:ascii="Cambria Math" w:hAnsi="Cambria Math"/>
              </w:rPr>
              <m:t>Q</m:t>
            </m:r>
            <m:ctrlPr>
              <w:rPr>
                <w:rFonts w:ascii="Cambria Math" w:hAnsi="Cambria Math"/>
              </w:rPr>
            </m:ctrlPr>
          </m:num>
          <m:den>
            <m:r>
              <m:rPr/>
              <w:rPr>
                <w:rFonts w:ascii="Cambria Math" w:hAnsi="Cambria Math"/>
              </w:rPr>
              <m:t>U</m:t>
            </m:r>
            <m:ctrlPr>
              <w:rPr>
                <w:rFonts w:ascii="Cambria Math" w:hAnsi="Cambria Math"/>
              </w:rPr>
            </m:ctrlPr>
          </m:den>
        </m:f>
      </m:oMath>
      <w:r>
        <w:rPr>
          <w:rFonts w:ascii="Times New Roman" w:hAnsi="Times New Roman"/>
          <w:w w:val="104"/>
        </w:rPr>
        <w:t>表明，电容器的电容在数值上等于使两极板间的电势差为</w:t>
      </w:r>
      <w:r>
        <w:rPr>
          <w:rFonts w:ascii="Times New Roman" w:hAnsi="Times New Roman"/>
          <w:w w:val="104"/>
          <w:u w:val="single"/>
        </w:rPr>
        <w:t>　　　　</w:t>
      </w:r>
      <w:r>
        <w:rPr>
          <w:rFonts w:ascii="Times New Roman" w:hAnsi="Times New Roman"/>
          <w:w w:val="104"/>
        </w:rPr>
        <w:t>时电容器所带的电荷量。 </w:t>
      </w:r>
    </w:p>
    <w:p w14:paraId="4D62FCE5">
      <w:pPr>
        <w:tabs>
          <w:tab w:val="left" w:pos="2127"/>
          <w:tab w:val="left" w:pos="4395"/>
          <w:tab w:val="left" w:pos="6521"/>
        </w:tabs>
        <w:spacing w:line="360" w:lineRule="auto"/>
        <w:rPr>
          <w:rFonts w:ascii="Times New Roman" w:hAnsi="Times New Roman"/>
        </w:rPr>
      </w:pPr>
      <w:r>
        <w:rPr>
          <w:rFonts w:ascii="Times New Roman" w:hAnsi="Times New Roman"/>
          <w:w w:val="104"/>
        </w:rPr>
        <w:t>2.击穿电压和额定电压</w:t>
      </w:r>
    </w:p>
    <w:p w14:paraId="133E48D6">
      <w:pPr>
        <w:tabs>
          <w:tab w:val="left" w:pos="2127"/>
          <w:tab w:val="left" w:pos="4395"/>
          <w:tab w:val="left" w:pos="6521"/>
        </w:tabs>
        <w:spacing w:line="360" w:lineRule="auto"/>
        <w:rPr>
          <w:rFonts w:ascii="Times New Roman" w:hAnsi="Times New Roman"/>
        </w:rPr>
      </w:pPr>
      <w:r>
        <w:rPr>
          <w:rFonts w:ascii="Times New Roman" w:hAnsi="Times New Roman"/>
          <w:w w:val="104"/>
        </w:rPr>
        <w:t>(1)击穿电压：电介质不被</w:t>
      </w:r>
      <w:r>
        <w:rPr>
          <w:rFonts w:ascii="Times New Roman" w:hAnsi="Times New Roman"/>
          <w:w w:val="104"/>
          <w:u w:val="single"/>
        </w:rPr>
        <w:t>　　　　</w:t>
      </w:r>
      <w:r>
        <w:rPr>
          <w:rFonts w:ascii="Times New Roman" w:hAnsi="Times New Roman"/>
          <w:w w:val="104"/>
        </w:rPr>
        <w:t>时加在电容器两极板上的</w:t>
      </w:r>
      <w:r>
        <w:rPr>
          <w:rFonts w:ascii="Times New Roman" w:hAnsi="Times New Roman"/>
          <w:w w:val="104"/>
          <w:u w:val="single"/>
        </w:rPr>
        <w:t>　　　　</w:t>
      </w:r>
      <w:r>
        <w:rPr>
          <w:rFonts w:ascii="Times New Roman" w:hAnsi="Times New Roman"/>
          <w:w w:val="104"/>
        </w:rPr>
        <w:t>电压，若电压超过这一限度，电容器就会损坏。 </w:t>
      </w:r>
    </w:p>
    <w:p w14:paraId="2B2414A8">
      <w:pPr>
        <w:tabs>
          <w:tab w:val="left" w:pos="2127"/>
          <w:tab w:val="left" w:pos="4395"/>
          <w:tab w:val="left" w:pos="6521"/>
        </w:tabs>
        <w:spacing w:line="360" w:lineRule="auto"/>
        <w:rPr>
          <w:rFonts w:ascii="Times New Roman" w:hAnsi="Times New Roman"/>
        </w:rPr>
      </w:pPr>
      <w:r>
        <w:rPr>
          <w:rFonts w:ascii="Times New Roman" w:hAnsi="Times New Roman"/>
          <w:w w:val="104"/>
        </w:rPr>
        <w:t>(2)额定电压：电容器外壳上标的电压是工作电压，也是电容器正常工作时所能承受的最大电压。</w:t>
      </w:r>
    </w:p>
    <w:p w14:paraId="469E44EA">
      <w:pPr>
        <w:tabs>
          <w:tab w:val="left" w:pos="2127"/>
          <w:tab w:val="left" w:pos="4395"/>
          <w:tab w:val="left" w:pos="6521"/>
        </w:tabs>
        <w:spacing w:line="360" w:lineRule="auto"/>
        <w:rPr>
          <w:rFonts w:ascii="Times New Roman" w:hAnsi="Times New Roman"/>
        </w:rPr>
      </w:pPr>
      <w:r>
        <w:rPr>
          <w:rFonts w:ascii="Times New Roman" w:hAnsi="Times New Roman"/>
          <w:w w:val="104"/>
        </w:rPr>
        <w:t>(3)额定电压比击穿电压</w:t>
      </w:r>
      <w:r>
        <w:rPr>
          <w:rFonts w:ascii="Times New Roman" w:hAnsi="Times New Roman"/>
          <w:w w:val="104"/>
          <w:u w:val="single"/>
        </w:rPr>
        <w:t>　　　</w:t>
      </w:r>
      <w:r>
        <w:rPr>
          <w:rFonts w:ascii="Times New Roman" w:hAnsi="Times New Roman"/>
          <w:w w:val="104"/>
        </w:rPr>
        <w:t>。 </w:t>
      </w:r>
    </w:p>
    <w:p w14:paraId="01725401">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683260" cy="180975"/>
            <wp:effectExtent l="0" t="0" r="2540" b="9525"/>
            <wp:docPr id="628" name="image2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image285.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83260" cy="180975"/>
                    </a:xfrm>
                    <a:prstGeom prst="rect">
                      <a:avLst/>
                    </a:prstGeom>
                    <a:noFill/>
                    <a:ln>
                      <a:noFill/>
                    </a:ln>
                  </pic:spPr>
                </pic:pic>
              </a:graphicData>
            </a:graphic>
          </wp:inline>
        </w:drawing>
      </w:r>
    </w:p>
    <w:p w14:paraId="4ABE6E74">
      <w:pPr>
        <w:tabs>
          <w:tab w:val="left" w:pos="2127"/>
          <w:tab w:val="left" w:pos="4395"/>
          <w:tab w:val="left" w:pos="6521"/>
        </w:tabs>
        <w:spacing w:line="360" w:lineRule="auto"/>
        <w:rPr>
          <w:rFonts w:ascii="Times New Roman" w:hAnsi="Times New Roman"/>
        </w:rPr>
      </w:pPr>
      <w:r>
        <w:rPr>
          <w:rFonts w:ascii="Times New Roman" w:hAnsi="Times New Roman" w:eastAsia="楷体"/>
        </w:rPr>
        <w:t>(</w:t>
      </w:r>
      <w:r>
        <w:rPr>
          <w:rFonts w:ascii="Times New Roman" w:hAnsi="Times New Roman"/>
        </w:rPr>
        <w:t>1</w:t>
      </w:r>
      <w:r>
        <w:rPr>
          <w:rFonts w:ascii="Times New Roman" w:hAnsi="Times New Roman" w:eastAsia="楷体"/>
        </w:rPr>
        <w:t>)放电的电容器电荷量为零，电容也为零。(</w:t>
      </w:r>
      <w:r>
        <w:rPr>
          <w:rFonts w:ascii="Times New Roman" w:hAnsi="Times New Roman"/>
        </w:rPr>
        <w:t>　　</w:t>
      </w:r>
      <w:r>
        <w:rPr>
          <w:rFonts w:ascii="Times New Roman" w:hAnsi="Times New Roman" w:eastAsia="楷体"/>
        </w:rPr>
        <w:t>)</w:t>
      </w:r>
    </w:p>
    <w:p w14:paraId="4D844869">
      <w:pPr>
        <w:tabs>
          <w:tab w:val="left" w:pos="2127"/>
          <w:tab w:val="left" w:pos="4395"/>
          <w:tab w:val="left" w:pos="6521"/>
        </w:tabs>
        <w:spacing w:line="360" w:lineRule="auto"/>
        <w:rPr>
          <w:rFonts w:ascii="Times New Roman" w:hAnsi="Times New Roman"/>
        </w:rPr>
      </w:pPr>
      <w:r>
        <w:rPr>
          <w:rFonts w:ascii="Times New Roman" w:hAnsi="Times New Roman" w:eastAsia="楷体"/>
        </w:rPr>
        <w:t>(</w:t>
      </w:r>
      <w:r>
        <w:rPr>
          <w:rFonts w:ascii="Times New Roman" w:hAnsi="Times New Roman"/>
        </w:rPr>
        <w:t>2</w:t>
      </w:r>
      <w:r>
        <w:rPr>
          <w:rFonts w:ascii="Times New Roman" w:hAnsi="Times New Roman" w:eastAsia="楷体"/>
        </w:rPr>
        <w:t>)对于确定的电容器，它所带电荷量与它两极板间电压的比值保持不变。(</w:t>
      </w:r>
      <w:r>
        <w:rPr>
          <w:rFonts w:ascii="Times New Roman" w:hAnsi="Times New Roman"/>
        </w:rPr>
        <w:t>　　</w:t>
      </w:r>
      <w:r>
        <w:rPr>
          <w:rFonts w:ascii="Times New Roman" w:hAnsi="Times New Roman" w:eastAsia="楷体"/>
        </w:rPr>
        <w:t>)</w:t>
      </w:r>
    </w:p>
    <w:p w14:paraId="6E060AC9">
      <w:pPr>
        <w:tabs>
          <w:tab w:val="left" w:pos="2127"/>
          <w:tab w:val="left" w:pos="4395"/>
          <w:tab w:val="left" w:pos="6521"/>
        </w:tabs>
        <w:spacing w:line="360" w:lineRule="auto"/>
        <w:rPr>
          <w:rFonts w:ascii="Times New Roman" w:hAnsi="Times New Roman"/>
        </w:rPr>
      </w:pPr>
      <w:r>
        <w:rPr>
          <w:rFonts w:ascii="Times New Roman" w:hAnsi="Times New Roman" w:eastAsia="楷体"/>
        </w:rPr>
        <w:t>(</w:t>
      </w:r>
      <w:r>
        <w:rPr>
          <w:rFonts w:ascii="Times New Roman" w:hAnsi="Times New Roman"/>
        </w:rPr>
        <w:t>3</w:t>
      </w:r>
      <w:r>
        <w:rPr>
          <w:rFonts w:ascii="Times New Roman" w:hAnsi="Times New Roman" w:eastAsia="楷体"/>
        </w:rPr>
        <w:t>)当加在电容器两端的电压超过额定电压时，电容器将被击穿。(</w:t>
      </w:r>
      <w:r>
        <w:rPr>
          <w:rFonts w:ascii="Times New Roman" w:hAnsi="Times New Roman"/>
        </w:rPr>
        <w:t>　　</w:t>
      </w:r>
      <w:r>
        <w:rPr>
          <w:rFonts w:ascii="Times New Roman" w:hAnsi="Times New Roman" w:eastAsia="楷体"/>
        </w:rPr>
        <w:t>)</w:t>
      </w:r>
    </w:p>
    <w:p w14:paraId="5F273029">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629" name="image2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image286.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1</w:t>
      </w:r>
      <w:r>
        <w:rPr>
          <w:rFonts w:ascii="Times New Roman" w:hAnsi="Times New Roman"/>
        </w:rPr>
        <w:drawing>
          <wp:inline distT="0" distB="0" distL="0" distR="0">
            <wp:extent cx="34925" cy="105410"/>
            <wp:effectExtent l="0" t="0" r="3175" b="8890"/>
            <wp:docPr id="630" name="image2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image287.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eastAsia="楷体"/>
          <w:w w:val="104"/>
        </w:rPr>
        <w:t>(来自教材改编)(</w:t>
      </w:r>
      <w:r>
        <w:rPr>
          <w:rFonts w:ascii="Times New Roman" w:hAnsi="Times New Roman"/>
          <w:w w:val="104"/>
        </w:rPr>
        <w:t>2024·</w:t>
      </w:r>
      <w:r>
        <w:rPr>
          <w:rFonts w:ascii="Times New Roman" w:hAnsi="Times New Roman" w:eastAsia="楷体"/>
          <w:w w:val="104"/>
        </w:rPr>
        <w:t>陕西瑞泉中学高二月考)</w:t>
      </w:r>
      <w:r>
        <w:rPr>
          <w:rFonts w:ascii="Times New Roman" w:hAnsi="Times New Roman"/>
          <w:w w:val="104"/>
        </w:rPr>
        <w:t>心室纤颤是一种可能危及生命的疾病。一种叫作心脏除颤器的医疗设备，其工作原理是通过一个充电的电容器对心室纤颤患者皮肤上安装的两个电极板放电，让一部分电荷通过心脏，使心脏停止跳动，再刺激心室纤颤患者的心脏恢复正常跳动。若心脏除颤器的电容器电容为15 μF，充电至9.0 kV电压，如果电容器在2.0 ms时间内完成放电，放电结束时电容器两极板间的电势差减为零。下列说法正确的是(　　)</w:t>
      </w:r>
    </w:p>
    <w:p w14:paraId="136E852B">
      <w:pPr>
        <w:tabs>
          <w:tab w:val="left" w:pos="2127"/>
          <w:tab w:val="left" w:pos="4395"/>
          <w:tab w:val="left" w:pos="6521"/>
        </w:tabs>
        <w:spacing w:line="360" w:lineRule="auto"/>
        <w:rPr>
          <w:rFonts w:ascii="Times New Roman" w:hAnsi="Times New Roman"/>
        </w:rPr>
      </w:pPr>
      <w:r>
        <w:rPr>
          <w:rFonts w:ascii="Times New Roman" w:hAnsi="Times New Roman"/>
          <w:w w:val="104"/>
        </w:rPr>
        <w:t>A.若充电至4.5 kV，则该电容器的电容为7.5 μF</w:t>
      </w:r>
    </w:p>
    <w:p w14:paraId="21092290">
      <w:pPr>
        <w:tabs>
          <w:tab w:val="left" w:pos="2127"/>
          <w:tab w:val="left" w:pos="4395"/>
          <w:tab w:val="left" w:pos="6521"/>
        </w:tabs>
        <w:spacing w:line="360" w:lineRule="auto"/>
        <w:rPr>
          <w:rFonts w:ascii="Times New Roman" w:hAnsi="Times New Roman"/>
        </w:rPr>
      </w:pPr>
      <w:r>
        <w:rPr>
          <w:rFonts w:ascii="Times New Roman" w:hAnsi="Times New Roman"/>
          <w:w w:val="104"/>
        </w:rPr>
        <w:t>B.充电至9.0 kV时，该电容器所带电荷量是0.27 C</w:t>
      </w:r>
    </w:p>
    <w:p w14:paraId="4DB90D96">
      <w:pPr>
        <w:tabs>
          <w:tab w:val="left" w:pos="2127"/>
          <w:tab w:val="left" w:pos="4395"/>
          <w:tab w:val="left" w:pos="6521"/>
        </w:tabs>
        <w:spacing w:line="360" w:lineRule="auto"/>
        <w:rPr>
          <w:rFonts w:ascii="Times New Roman" w:hAnsi="Times New Roman"/>
        </w:rPr>
      </w:pPr>
      <w:r>
        <w:rPr>
          <w:rFonts w:ascii="Times New Roman" w:hAnsi="Times New Roman"/>
          <w:w w:val="104"/>
        </w:rPr>
        <w:t>C.这次放电过程中有0.135 C的电荷通过人体组织</w:t>
      </w:r>
    </w:p>
    <w:p w14:paraId="11AEB151">
      <w:pPr>
        <w:tabs>
          <w:tab w:val="left" w:pos="2127"/>
          <w:tab w:val="left" w:pos="4395"/>
          <w:tab w:val="left" w:pos="6521"/>
        </w:tabs>
        <w:spacing w:line="360" w:lineRule="auto"/>
        <w:rPr>
          <w:rFonts w:ascii="Times New Roman" w:hAnsi="Times New Roman"/>
        </w:rPr>
      </w:pPr>
      <w:r>
        <w:rPr>
          <w:rFonts w:ascii="Times New Roman" w:hAnsi="Times New Roman"/>
          <w:w w:val="104"/>
        </w:rPr>
        <w:t>D.这次放电过程中有0.27 C的电荷通过人体组织</w:t>
      </w:r>
    </w:p>
    <w:p w14:paraId="344B4267">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631" name="image2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image288.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2</w:t>
      </w:r>
      <w:r>
        <w:rPr>
          <w:rFonts w:ascii="Times New Roman" w:hAnsi="Times New Roman"/>
        </w:rPr>
        <w:drawing>
          <wp:inline distT="0" distB="0" distL="0" distR="0">
            <wp:extent cx="34925" cy="105410"/>
            <wp:effectExtent l="0" t="0" r="3175" b="8890"/>
            <wp:docPr id="632" name="image2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image289.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w w:val="104"/>
        </w:rPr>
        <w:t>如图所示为某一电容器所带电荷量和两端电压之间的关系图线，若将该电容器两端的电压从40 V降低到36 V，对该电容器来说正确的是(　　)</w:t>
      </w:r>
    </w:p>
    <w:p w14:paraId="2E22F604">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045210" cy="793750"/>
            <wp:effectExtent l="0" t="0" r="2540" b="6350"/>
            <wp:docPr id="633" name="image2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image29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045210" cy="793750"/>
                    </a:xfrm>
                    <a:prstGeom prst="rect">
                      <a:avLst/>
                    </a:prstGeom>
                    <a:noFill/>
                    <a:ln>
                      <a:noFill/>
                    </a:ln>
                  </pic:spPr>
                </pic:pic>
              </a:graphicData>
            </a:graphic>
          </wp:inline>
        </w:drawing>
      </w:r>
    </w:p>
    <w:p w14:paraId="51FA3399">
      <w:pPr>
        <w:tabs>
          <w:tab w:val="left" w:pos="2127"/>
          <w:tab w:val="left" w:pos="4395"/>
          <w:tab w:val="left" w:pos="6521"/>
        </w:tabs>
        <w:spacing w:line="360" w:lineRule="auto"/>
        <w:rPr>
          <w:rFonts w:ascii="Times New Roman" w:hAnsi="Times New Roman"/>
        </w:rPr>
      </w:pPr>
      <w:r>
        <w:rPr>
          <w:rFonts w:ascii="Times New Roman" w:hAnsi="Times New Roman"/>
          <w:w w:val="104"/>
        </w:rPr>
        <w:t>A.是充电过程</w:t>
      </w:r>
    </w:p>
    <w:p w14:paraId="6347E804">
      <w:pPr>
        <w:tabs>
          <w:tab w:val="left" w:pos="2127"/>
          <w:tab w:val="left" w:pos="4395"/>
          <w:tab w:val="left" w:pos="6521"/>
        </w:tabs>
        <w:spacing w:line="360" w:lineRule="auto"/>
        <w:rPr>
          <w:rFonts w:ascii="Times New Roman" w:hAnsi="Times New Roman"/>
        </w:rPr>
      </w:pPr>
      <w:r>
        <w:rPr>
          <w:rFonts w:ascii="Times New Roman" w:hAnsi="Times New Roman"/>
          <w:w w:val="104"/>
        </w:rPr>
        <w:t>B.是放电过程</w:t>
      </w:r>
    </w:p>
    <w:p w14:paraId="09E7E646">
      <w:pPr>
        <w:tabs>
          <w:tab w:val="left" w:pos="2127"/>
          <w:tab w:val="left" w:pos="4395"/>
          <w:tab w:val="left" w:pos="6521"/>
        </w:tabs>
        <w:spacing w:line="360" w:lineRule="auto"/>
        <w:rPr>
          <w:rFonts w:ascii="Times New Roman" w:hAnsi="Times New Roman"/>
        </w:rPr>
      </w:pPr>
      <w:r>
        <w:rPr>
          <w:rFonts w:ascii="Times New Roman" w:hAnsi="Times New Roman"/>
          <w:w w:val="104"/>
        </w:rPr>
        <w:t>C.该电容器的电容为5</w:t>
      </w:r>
      <w:r>
        <w:rPr>
          <w:rFonts w:ascii="宋体" w:hAnsi="宋体"/>
          <w:w w:val="104"/>
        </w:rPr>
        <w:t>×</w:t>
      </w:r>
      <w:r>
        <w:rPr>
          <w:rFonts w:ascii="Times New Roman" w:hAnsi="Times New Roman"/>
          <w:w w:val="104"/>
        </w:rPr>
        <w:t>10</w:t>
      </w:r>
      <w:r>
        <w:rPr>
          <w:rFonts w:ascii="Times New Roman" w:hAnsi="Times New Roman"/>
          <w:w w:val="104"/>
          <w:vertAlign w:val="superscript"/>
        </w:rPr>
        <w:t>-2</w:t>
      </w:r>
      <w:r>
        <w:rPr>
          <w:rFonts w:ascii="Times New Roman" w:hAnsi="Times New Roman"/>
          <w:w w:val="104"/>
        </w:rPr>
        <w:t xml:space="preserve"> F</w:t>
      </w:r>
    </w:p>
    <w:p w14:paraId="62983B54">
      <w:pPr>
        <w:tabs>
          <w:tab w:val="left" w:pos="2127"/>
          <w:tab w:val="left" w:pos="4395"/>
          <w:tab w:val="left" w:pos="6521"/>
        </w:tabs>
        <w:spacing w:line="360" w:lineRule="auto"/>
        <w:rPr>
          <w:rFonts w:ascii="Times New Roman" w:hAnsi="Times New Roman"/>
        </w:rPr>
      </w:pPr>
      <w:r>
        <w:rPr>
          <w:rFonts w:ascii="Times New Roman" w:hAnsi="Times New Roman"/>
          <w:w w:val="104"/>
        </w:rPr>
        <w:t>D.该电容器的电荷量变化量为0.2 C</w:t>
      </w:r>
    </w:p>
    <w:p w14:paraId="03A2C3DB">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5327650" cy="240665"/>
            <wp:effectExtent l="0" t="0" r="6350" b="698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14:paraId="58F8B1E0">
      <w:pPr>
        <w:pStyle w:val="23"/>
        <w:spacing w:line="360" w:lineRule="auto"/>
        <w:jc w:val="center"/>
        <w:rPr>
          <w:rFonts w:ascii="Times New Roman" w:hAnsi="Times New Roman" w:eastAsia="黑体"/>
          <w:sz w:val="22"/>
          <w:szCs w:val="22"/>
        </w:rPr>
      </w:pPr>
      <w:r>
        <w:rPr>
          <w:rFonts w:ascii="Times New Roman" w:hAnsi="Times New Roman" w:eastAsia="黑体"/>
          <w:sz w:val="22"/>
          <w:szCs w:val="22"/>
        </w:rPr>
        <w:t>电容器电容的另一表达式</w:t>
      </w:r>
    </w:p>
    <w:p w14:paraId="53082F7E">
      <w:pPr>
        <w:pStyle w:val="23"/>
        <w:spacing w:line="360" w:lineRule="auto"/>
        <w:jc w:val="center"/>
        <w:rPr>
          <w:rFonts w:ascii="Times New Roman" w:hAnsi="Times New Roman" w:eastAsia="宋体"/>
          <w:sz w:val="22"/>
          <w:szCs w:val="22"/>
        </w:rPr>
      </w:pPr>
      <w:r>
        <w:rPr>
          <w:rFonts w:ascii="Times New Roman" w:hAnsi="Times New Roman"/>
          <w:sz w:val="22"/>
          <w:szCs w:val="22"/>
        </w:rPr>
        <w:drawing>
          <wp:inline distT="0" distB="0" distL="0" distR="0">
            <wp:extent cx="899160" cy="934720"/>
            <wp:effectExtent l="0" t="0" r="0" b="0"/>
            <wp:docPr id="8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899160" cy="934720"/>
                    </a:xfrm>
                    <a:prstGeom prst="rect">
                      <a:avLst/>
                    </a:prstGeom>
                    <a:noFill/>
                    <a:ln>
                      <a:noFill/>
                    </a:ln>
                  </pic:spPr>
                </pic:pic>
              </a:graphicData>
            </a:graphic>
          </wp:inline>
        </w:drawing>
      </w:r>
    </w:p>
    <w:p w14:paraId="3F63B480">
      <w:pPr>
        <w:pStyle w:val="23"/>
        <w:spacing w:line="360" w:lineRule="auto"/>
        <w:rPr>
          <w:rFonts w:ascii="Times New Roman" w:hAnsi="Times New Roman" w:eastAsia="宋体"/>
          <w:sz w:val="22"/>
          <w:szCs w:val="22"/>
        </w:rPr>
      </w:pPr>
      <w:r>
        <w:rPr>
          <w:rFonts w:ascii="Times New Roman" w:hAnsi="Times New Roman" w:eastAsia="楷体"/>
          <w:sz w:val="22"/>
          <w:szCs w:val="22"/>
        </w:rPr>
        <w:t>如图所示，</w:t>
      </w:r>
      <w:r>
        <w:rPr>
          <w:rFonts w:ascii="Times New Roman" w:hAnsi="Times New Roman" w:eastAsia="宋体"/>
          <w:i/>
          <w:sz w:val="22"/>
          <w:szCs w:val="22"/>
        </w:rPr>
        <w:t>Q</w:t>
      </w:r>
      <w:r>
        <w:rPr>
          <w:rFonts w:ascii="Times New Roman" w:hAnsi="Times New Roman" w:eastAsia="宋体"/>
          <w:sz w:val="22"/>
          <w:szCs w:val="22"/>
        </w:rPr>
        <w:t>-</w:t>
      </w:r>
      <w:r>
        <w:rPr>
          <w:rFonts w:ascii="Times New Roman" w:hAnsi="Times New Roman" w:eastAsia="宋体"/>
          <w:i/>
          <w:sz w:val="22"/>
          <w:szCs w:val="22"/>
        </w:rPr>
        <w:t>U</w:t>
      </w:r>
      <w:r>
        <w:rPr>
          <w:rFonts w:ascii="Times New Roman" w:hAnsi="Times New Roman" w:eastAsia="楷体"/>
          <w:sz w:val="22"/>
          <w:szCs w:val="22"/>
        </w:rPr>
        <w:t>图像是一条过原点的直线，其中</w:t>
      </w:r>
      <w:r>
        <w:rPr>
          <w:rFonts w:ascii="Times New Roman" w:hAnsi="Times New Roman" w:eastAsia="宋体"/>
          <w:i/>
          <w:sz w:val="22"/>
          <w:szCs w:val="22"/>
        </w:rPr>
        <w:t>Q</w:t>
      </w:r>
      <w:r>
        <w:rPr>
          <w:rFonts w:ascii="Times New Roman" w:hAnsi="Times New Roman" w:eastAsia="楷体"/>
          <w:sz w:val="22"/>
          <w:szCs w:val="22"/>
        </w:rPr>
        <w:t>为一个极板上所带电荷量的绝对值，</w:t>
      </w:r>
      <w:r>
        <w:rPr>
          <w:rFonts w:ascii="Times New Roman" w:hAnsi="Times New Roman" w:eastAsia="宋体"/>
          <w:i/>
          <w:sz w:val="22"/>
          <w:szCs w:val="22"/>
        </w:rPr>
        <w:t>U</w:t>
      </w:r>
      <w:r>
        <w:rPr>
          <w:rFonts w:ascii="Times New Roman" w:hAnsi="Times New Roman" w:eastAsia="楷体"/>
          <w:sz w:val="22"/>
          <w:szCs w:val="22"/>
        </w:rPr>
        <w:t>为两极板间的电势差，直线的斜率表示电容大小。因此</w:t>
      </w:r>
      <w:r>
        <w:rPr>
          <w:rFonts w:ascii="Times New Roman" w:hAnsi="Times New Roman" w:eastAsia="宋体"/>
          <w:i/>
          <w:sz w:val="22"/>
          <w:szCs w:val="22"/>
        </w:rPr>
        <w:t>C</w:t>
      </w:r>
      <w:r>
        <w:rPr>
          <w:rFonts w:ascii="Times New Roman" w:hAnsi="Times New Roman" w:eastAsia="宋体"/>
          <w:sz w:val="22"/>
          <w:szCs w:val="22"/>
        </w:rPr>
        <w:t>=</w:t>
      </w:r>
      <m:oMath>
        <m:f>
          <m:fPr>
            <m:ctrlPr>
              <w:rPr>
                <w:rFonts w:ascii="Cambria Math" w:hAnsi="Cambria Math"/>
                <w:sz w:val="22"/>
                <w:szCs w:val="22"/>
              </w:rPr>
            </m:ctrlPr>
          </m:fPr>
          <m:num>
            <m:r>
              <m:rPr>
                <m:sty m:val="p"/>
              </m:rPr>
              <w:rPr>
                <w:rFonts w:ascii="Cambria Math" w:hAnsi="Cambria Math"/>
                <w:sz w:val="22"/>
                <w:szCs w:val="22"/>
              </w:rPr>
              <m:t>Δ</m:t>
            </m:r>
            <m:r>
              <m:rPr/>
              <w:rPr>
                <w:rFonts w:ascii="Cambria Math" w:hAnsi="Cambria Math"/>
                <w:sz w:val="22"/>
                <w:szCs w:val="22"/>
              </w:rPr>
              <m:t>Q</m:t>
            </m:r>
            <m:ctrlPr>
              <w:rPr>
                <w:rFonts w:ascii="Cambria Math" w:hAnsi="Cambria Math"/>
                <w:sz w:val="22"/>
                <w:szCs w:val="22"/>
              </w:rPr>
            </m:ctrlPr>
          </m:num>
          <m:den>
            <m:r>
              <m:rPr>
                <m:sty m:val="p"/>
              </m:rPr>
              <w:rPr>
                <w:rFonts w:ascii="Cambria Math" w:hAnsi="Cambria Math"/>
                <w:sz w:val="22"/>
                <w:szCs w:val="22"/>
              </w:rPr>
              <m:t>Δ</m:t>
            </m:r>
            <m:r>
              <m:rPr/>
              <w:rPr>
                <w:rFonts w:ascii="Cambria Math" w:hAnsi="Cambria Math"/>
                <w:sz w:val="22"/>
                <w:szCs w:val="22"/>
              </w:rPr>
              <m:t>U</m:t>
            </m:r>
            <m:ctrlPr>
              <w:rPr>
                <w:rFonts w:ascii="Cambria Math" w:hAnsi="Cambria Math"/>
                <w:sz w:val="22"/>
                <w:szCs w:val="22"/>
              </w:rPr>
            </m:ctrlPr>
          </m:den>
        </m:f>
      </m:oMath>
      <w:r>
        <w:rPr>
          <w:rFonts w:ascii="Times New Roman" w:hAnsi="Times New Roman" w:eastAsia="楷体"/>
          <w:sz w:val="22"/>
          <w:szCs w:val="22"/>
        </w:rPr>
        <w:t>，即电容的大小在数值上等于两极板间的电压增加</w:t>
      </w:r>
      <w:r>
        <w:rPr>
          <w:rFonts w:hint="eastAsia" w:ascii="Times New Roman" w:hAnsi="Times New Roman" w:eastAsia="楷体"/>
          <w:sz w:val="22"/>
          <w:szCs w:val="22"/>
        </w:rPr>
        <w:t>(</w:t>
      </w:r>
      <w:r>
        <w:rPr>
          <w:rFonts w:ascii="Times New Roman" w:hAnsi="Times New Roman" w:eastAsia="楷体"/>
          <w:sz w:val="22"/>
          <w:szCs w:val="22"/>
        </w:rPr>
        <w:t>或减小</w:t>
      </w:r>
      <w:r>
        <w:rPr>
          <w:rFonts w:hint="eastAsia" w:ascii="Times New Roman" w:hAnsi="Times New Roman" w:eastAsia="楷体"/>
          <w:sz w:val="22"/>
          <w:szCs w:val="22"/>
        </w:rPr>
        <w:t>)</w:t>
      </w:r>
      <w:r>
        <w:rPr>
          <w:rFonts w:ascii="Times New Roman" w:hAnsi="Times New Roman" w:eastAsia="宋体"/>
          <w:sz w:val="22"/>
          <w:szCs w:val="22"/>
        </w:rPr>
        <w:t>1</w:t>
      </w:r>
      <w:r>
        <w:rPr>
          <w:rFonts w:ascii="Times New Roman" w:hAnsi="Times New Roman" w:eastAsia="楷体"/>
          <w:sz w:val="22"/>
          <w:szCs w:val="22"/>
        </w:rPr>
        <w:t xml:space="preserve"> </w:t>
      </w:r>
      <w:r>
        <w:rPr>
          <w:rFonts w:ascii="Times New Roman" w:hAnsi="Times New Roman" w:eastAsia="宋体"/>
          <w:sz w:val="22"/>
          <w:szCs w:val="22"/>
        </w:rPr>
        <w:t>V</w:t>
      </w:r>
      <w:r>
        <w:rPr>
          <w:rFonts w:ascii="Times New Roman" w:hAnsi="Times New Roman" w:eastAsia="楷体"/>
          <w:sz w:val="22"/>
          <w:szCs w:val="22"/>
        </w:rPr>
        <w:t>所增加</w:t>
      </w:r>
      <w:r>
        <w:rPr>
          <w:rFonts w:hint="eastAsia" w:ascii="Times New Roman" w:hAnsi="Times New Roman" w:eastAsia="楷体"/>
          <w:sz w:val="22"/>
          <w:szCs w:val="22"/>
        </w:rPr>
        <w:t>(</w:t>
      </w:r>
      <w:r>
        <w:rPr>
          <w:rFonts w:ascii="Times New Roman" w:hAnsi="Times New Roman" w:eastAsia="楷体"/>
          <w:sz w:val="22"/>
          <w:szCs w:val="22"/>
        </w:rPr>
        <w:t>或减小</w:t>
      </w:r>
      <w:r>
        <w:rPr>
          <w:rFonts w:hint="eastAsia" w:ascii="Times New Roman" w:hAnsi="Times New Roman" w:eastAsia="楷体"/>
          <w:sz w:val="22"/>
          <w:szCs w:val="22"/>
        </w:rPr>
        <w:t>)</w:t>
      </w:r>
      <w:r>
        <w:rPr>
          <w:rFonts w:ascii="Times New Roman" w:hAnsi="Times New Roman" w:eastAsia="楷体"/>
          <w:sz w:val="22"/>
          <w:szCs w:val="22"/>
        </w:rPr>
        <w:t>的电荷量。</w:t>
      </w:r>
    </w:p>
    <w:p w14:paraId="073B5148">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三、实验：观察电容器的充、放电现象</w:t>
      </w:r>
    </w:p>
    <w:p w14:paraId="0C211FFC">
      <w:pPr>
        <w:tabs>
          <w:tab w:val="left" w:pos="2127"/>
          <w:tab w:val="left" w:pos="4395"/>
          <w:tab w:val="left" w:pos="6521"/>
        </w:tabs>
        <w:spacing w:line="360" w:lineRule="auto"/>
        <w:rPr>
          <w:rFonts w:ascii="Times New Roman" w:hAnsi="Times New Roman"/>
        </w:rPr>
      </w:pPr>
      <w:r>
        <w:rPr>
          <w:rFonts w:ascii="Times New Roman" w:hAnsi="Times New Roman"/>
          <w:w w:val="104"/>
        </w:rPr>
        <w:t>1.实验器材</w:t>
      </w:r>
    </w:p>
    <w:p w14:paraId="0A8D9CFE">
      <w:pPr>
        <w:tabs>
          <w:tab w:val="left" w:pos="2127"/>
          <w:tab w:val="left" w:pos="4395"/>
          <w:tab w:val="left" w:pos="6521"/>
        </w:tabs>
        <w:spacing w:line="360" w:lineRule="auto"/>
        <w:rPr>
          <w:rFonts w:ascii="Times New Roman" w:hAnsi="Times New Roman"/>
        </w:rPr>
      </w:pPr>
      <w:r>
        <w:rPr>
          <w:rFonts w:ascii="Times New Roman" w:hAnsi="Times New Roman"/>
          <w:w w:val="104"/>
        </w:rPr>
        <w:t>8 V的直流电源、单刀双掷开关、平行板电容器、电流表、电压表、小灯泡、导线若干。</w:t>
      </w:r>
    </w:p>
    <w:p w14:paraId="2FA9529D">
      <w:pPr>
        <w:tabs>
          <w:tab w:val="left" w:pos="2127"/>
          <w:tab w:val="left" w:pos="4395"/>
          <w:tab w:val="left" w:pos="6521"/>
        </w:tabs>
        <w:spacing w:line="360" w:lineRule="auto"/>
        <w:rPr>
          <w:rFonts w:ascii="Times New Roman" w:hAnsi="Times New Roman"/>
        </w:rPr>
      </w:pPr>
      <w:r>
        <w:rPr>
          <w:rFonts w:ascii="Times New Roman" w:hAnsi="Times New Roman"/>
          <w:w w:val="104"/>
        </w:rPr>
        <w:t>2.实验步骤</w:t>
      </w:r>
    </w:p>
    <w:p w14:paraId="5C2E0327">
      <w:pPr>
        <w:tabs>
          <w:tab w:val="left" w:pos="2127"/>
          <w:tab w:val="left" w:pos="4395"/>
          <w:tab w:val="left" w:pos="6521"/>
        </w:tabs>
        <w:spacing w:line="360" w:lineRule="auto"/>
        <w:rPr>
          <w:rFonts w:ascii="Times New Roman" w:hAnsi="Times New Roman"/>
        </w:rPr>
      </w:pPr>
      <w:r>
        <w:rPr>
          <w:rFonts w:ascii="Times New Roman" w:hAnsi="Times New Roman"/>
          <w:w w:val="104"/>
        </w:rPr>
        <w:t>(1)按图连接好电路。</w:t>
      </w:r>
    </w:p>
    <w:p w14:paraId="21F371AC">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442085" cy="793750"/>
            <wp:effectExtent l="0" t="0" r="5715" b="6350"/>
            <wp:docPr id="635" name="image2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 name="image29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442085" cy="793750"/>
                    </a:xfrm>
                    <a:prstGeom prst="rect">
                      <a:avLst/>
                    </a:prstGeom>
                    <a:noFill/>
                    <a:ln>
                      <a:noFill/>
                    </a:ln>
                  </pic:spPr>
                </pic:pic>
              </a:graphicData>
            </a:graphic>
          </wp:inline>
        </w:drawing>
      </w:r>
    </w:p>
    <w:p w14:paraId="29F8CEBA">
      <w:pPr>
        <w:tabs>
          <w:tab w:val="left" w:pos="2127"/>
          <w:tab w:val="left" w:pos="4395"/>
          <w:tab w:val="left" w:pos="6521"/>
        </w:tabs>
        <w:spacing w:line="360" w:lineRule="auto"/>
        <w:rPr>
          <w:rFonts w:ascii="Times New Roman" w:hAnsi="Times New Roman"/>
        </w:rPr>
      </w:pPr>
      <w:r>
        <w:rPr>
          <w:rFonts w:ascii="Times New Roman" w:hAnsi="Times New Roman"/>
          <w:w w:val="104"/>
        </w:rPr>
        <w:t>(2)将单刀双掷开关S接触点1，观察电容器的充电现象，并将结果记录在表格中。</w:t>
      </w:r>
    </w:p>
    <w:p w14:paraId="429B5392">
      <w:pPr>
        <w:tabs>
          <w:tab w:val="left" w:pos="2127"/>
          <w:tab w:val="left" w:pos="4395"/>
          <w:tab w:val="left" w:pos="6521"/>
        </w:tabs>
        <w:spacing w:line="360" w:lineRule="auto"/>
        <w:rPr>
          <w:rFonts w:ascii="Times New Roman" w:hAnsi="Times New Roman"/>
        </w:rPr>
      </w:pPr>
      <w:r>
        <w:rPr>
          <w:rFonts w:ascii="Times New Roman" w:hAnsi="Times New Roman"/>
          <w:w w:val="104"/>
        </w:rPr>
        <w:t>(3)将单刀双掷开关S接触点3，观察电容器的放电现象，并将结果记录在表格中。</w:t>
      </w:r>
    </w:p>
    <w:p w14:paraId="64A92D62">
      <w:pPr>
        <w:tabs>
          <w:tab w:val="left" w:pos="2127"/>
          <w:tab w:val="left" w:pos="4395"/>
          <w:tab w:val="left" w:pos="6521"/>
        </w:tabs>
        <w:spacing w:line="360" w:lineRule="auto"/>
        <w:rPr>
          <w:rFonts w:ascii="Times New Roman" w:hAnsi="Times New Roman"/>
        </w:rPr>
      </w:pPr>
      <w:r>
        <w:rPr>
          <w:rFonts w:ascii="Times New Roman" w:hAnsi="Times New Roman"/>
          <w:w w:val="104"/>
        </w:rPr>
        <w:t>(4)关闭电源。</w:t>
      </w:r>
    </w:p>
    <w:p w14:paraId="7E56A4A8">
      <w:pPr>
        <w:tabs>
          <w:tab w:val="left" w:pos="2127"/>
          <w:tab w:val="left" w:pos="4395"/>
          <w:tab w:val="left" w:pos="6521"/>
        </w:tabs>
        <w:spacing w:line="360" w:lineRule="auto"/>
        <w:rPr>
          <w:rFonts w:ascii="Times New Roman" w:hAnsi="Times New Roman"/>
        </w:rPr>
      </w:pPr>
      <w:r>
        <w:rPr>
          <w:rFonts w:ascii="Times New Roman" w:hAnsi="Times New Roman"/>
          <w:w w:val="104"/>
        </w:rPr>
        <w:t>3.实验记录和分析</w:t>
      </w:r>
    </w:p>
    <w:tbl>
      <w:tblPr>
        <w:tblStyle w:val="8"/>
        <w:tblW w:w="0" w:type="auto"/>
        <w:jc w:val="center"/>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autofit"/>
        <w:tblCellMar>
          <w:top w:w="0" w:type="dxa"/>
          <w:left w:w="108" w:type="dxa"/>
          <w:bottom w:w="0" w:type="dxa"/>
          <w:right w:w="108" w:type="dxa"/>
        </w:tblCellMar>
      </w:tblPr>
      <w:tblGrid>
        <w:gridCol w:w="1272"/>
        <w:gridCol w:w="1300"/>
        <w:gridCol w:w="5084"/>
      </w:tblGrid>
      <w:tr w14:paraId="1A2BD8B8">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trHeight w:val="638" w:hRule="atLeast"/>
          <w:jc w:val="center"/>
        </w:trPr>
        <w:tc>
          <w:tcPr>
            <w:tcW w:w="1272"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3D780AE9">
            <w:pPr>
              <w:tabs>
                <w:tab w:val="left" w:pos="2127"/>
                <w:tab w:val="left" w:pos="4395"/>
                <w:tab w:val="left" w:pos="6521"/>
              </w:tabs>
              <w:spacing w:line="360" w:lineRule="auto"/>
              <w:jc w:val="center"/>
              <w:rPr>
                <w:rFonts w:ascii="Times New Roman" w:hAnsi="Times New Roman"/>
              </w:rPr>
            </w:pPr>
            <w:r>
              <w:rPr>
                <w:rFonts w:ascii="Times New Roman" w:hAnsi="Times New Roman"/>
              </w:rPr>
              <w:t>实验项目</w:t>
            </w:r>
          </w:p>
        </w:tc>
        <w:tc>
          <w:tcPr>
            <w:tcW w:w="6384" w:type="dxa"/>
            <w:gridSpan w:val="2"/>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15D45E5C">
            <w:pPr>
              <w:tabs>
                <w:tab w:val="left" w:pos="2127"/>
                <w:tab w:val="left" w:pos="4395"/>
                <w:tab w:val="left" w:pos="6521"/>
              </w:tabs>
              <w:spacing w:line="360" w:lineRule="auto"/>
              <w:jc w:val="center"/>
              <w:rPr>
                <w:rFonts w:ascii="Times New Roman" w:hAnsi="Times New Roman"/>
              </w:rPr>
            </w:pPr>
            <w:r>
              <w:rPr>
                <w:rFonts w:ascii="Times New Roman" w:hAnsi="Times New Roman"/>
              </w:rPr>
              <w:t>实验现象</w:t>
            </w:r>
          </w:p>
        </w:tc>
      </w:tr>
      <w:tr w14:paraId="3126E581">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trHeight w:val="953" w:hRule="atLeast"/>
          <w:jc w:val="center"/>
        </w:trPr>
        <w:tc>
          <w:tcPr>
            <w:tcW w:w="1272" w:type="dxa"/>
            <w:vMerge w:val="restart"/>
            <w:tcBorders>
              <w:top w:val="single" w:color="000000" w:sz="2" w:space="0"/>
              <w:left w:val="single" w:color="000000" w:sz="2" w:space="0"/>
              <w:bottom w:val="nil"/>
              <w:right w:val="single" w:color="000000" w:sz="2" w:space="0"/>
            </w:tcBorders>
            <w:tcMar>
              <w:top w:w="23" w:type="dxa"/>
              <w:left w:w="23" w:type="dxa"/>
              <w:bottom w:w="23" w:type="dxa"/>
              <w:right w:w="23" w:type="dxa"/>
            </w:tcMar>
            <w:vAlign w:val="center"/>
          </w:tcPr>
          <w:p w14:paraId="740D7052">
            <w:pPr>
              <w:tabs>
                <w:tab w:val="left" w:pos="2127"/>
                <w:tab w:val="left" w:pos="4395"/>
                <w:tab w:val="left" w:pos="6521"/>
              </w:tabs>
              <w:spacing w:line="360" w:lineRule="auto"/>
              <w:jc w:val="center"/>
              <w:rPr>
                <w:rFonts w:ascii="Times New Roman" w:hAnsi="Times New Roman"/>
              </w:rPr>
            </w:pPr>
            <w:r>
              <w:rPr>
                <w:rFonts w:ascii="Times New Roman" w:hAnsi="Times New Roman"/>
              </w:rPr>
              <w:t>电容器</w:t>
            </w:r>
          </w:p>
          <w:p w14:paraId="47E28F6E">
            <w:pPr>
              <w:tabs>
                <w:tab w:val="left" w:pos="2127"/>
                <w:tab w:val="left" w:pos="4395"/>
                <w:tab w:val="left" w:pos="6521"/>
              </w:tabs>
              <w:spacing w:line="360" w:lineRule="auto"/>
              <w:jc w:val="center"/>
              <w:rPr>
                <w:rFonts w:ascii="Times New Roman" w:hAnsi="Times New Roman"/>
              </w:rPr>
            </w:pPr>
            <w:r>
              <w:rPr>
                <w:rFonts w:ascii="Times New Roman" w:hAnsi="Times New Roman"/>
              </w:rPr>
              <w:t>充电</w:t>
            </w:r>
          </w:p>
        </w:tc>
        <w:tc>
          <w:tcPr>
            <w:tcW w:w="1300"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308B9D8F">
            <w:pPr>
              <w:tabs>
                <w:tab w:val="left" w:pos="2127"/>
                <w:tab w:val="left" w:pos="4395"/>
                <w:tab w:val="left" w:pos="6521"/>
              </w:tabs>
              <w:spacing w:line="360" w:lineRule="auto"/>
              <w:jc w:val="center"/>
              <w:rPr>
                <w:rFonts w:ascii="Times New Roman" w:hAnsi="Times New Roman"/>
              </w:rPr>
            </w:pPr>
            <w:r>
              <w:rPr>
                <w:rFonts w:ascii="Times New Roman" w:hAnsi="Times New Roman"/>
              </w:rPr>
              <w:t>灯泡</w:t>
            </w:r>
          </w:p>
        </w:tc>
        <w:tc>
          <w:tcPr>
            <w:tcW w:w="5084" w:type="dxa"/>
            <w:tcBorders>
              <w:top w:val="single" w:color="000000" w:sz="2" w:space="0"/>
              <w:left w:val="single" w:color="000000" w:sz="2" w:space="0"/>
              <w:bottom w:val="single" w:color="000000" w:sz="2" w:space="0"/>
              <w:right w:val="single" w:color="000000" w:sz="2" w:space="0"/>
            </w:tcBorders>
            <w:tcMar>
              <w:top w:w="23" w:type="dxa"/>
              <w:left w:w="28" w:type="dxa"/>
              <w:bottom w:w="23" w:type="dxa"/>
              <w:right w:w="28" w:type="dxa"/>
            </w:tcMar>
            <w:vAlign w:val="center"/>
          </w:tcPr>
          <w:p w14:paraId="71720BAD">
            <w:pPr>
              <w:tabs>
                <w:tab w:val="left" w:pos="2127"/>
                <w:tab w:val="left" w:pos="4395"/>
                <w:tab w:val="left" w:pos="6521"/>
              </w:tabs>
              <w:spacing w:line="360" w:lineRule="auto"/>
              <w:rPr>
                <w:rFonts w:ascii="Times New Roman" w:hAnsi="Times New Roman"/>
              </w:rPr>
            </w:pPr>
            <w:r>
              <w:rPr>
                <w:rFonts w:ascii="Times New Roman" w:hAnsi="Times New Roman"/>
              </w:rPr>
              <w:t>灯泡的亮度由</w:t>
            </w:r>
            <w:r>
              <w:rPr>
                <w:rFonts w:ascii="Times New Roman" w:hAnsi="Times New Roman"/>
                <w:u w:val="single"/>
              </w:rPr>
              <w:t>　　　</w:t>
            </w:r>
            <w:r>
              <w:rPr>
                <w:rFonts w:ascii="Times New Roman" w:hAnsi="Times New Roman"/>
              </w:rPr>
              <w:t>到</w:t>
            </w:r>
            <w:r>
              <w:rPr>
                <w:rFonts w:ascii="Times New Roman" w:hAnsi="Times New Roman"/>
                <w:u w:val="single"/>
              </w:rPr>
              <w:t>　　　</w:t>
            </w:r>
            <w:r>
              <w:rPr>
                <w:rFonts w:ascii="Times New Roman" w:hAnsi="Times New Roman"/>
              </w:rPr>
              <w:t>最后</w:t>
            </w:r>
            <w:r>
              <w:rPr>
                <w:rFonts w:ascii="Times New Roman" w:hAnsi="Times New Roman"/>
                <w:u w:val="single"/>
              </w:rPr>
              <w:t>　　　　</w:t>
            </w:r>
            <w:r>
              <w:rPr>
                <w:rFonts w:ascii="Times New Roman" w:hAnsi="Times New Roman"/>
              </w:rPr>
              <w:t>(均选填</w:t>
            </w:r>
            <w:r>
              <w:rPr>
                <w:rFonts w:ascii="宋体" w:hAnsi="宋体"/>
              </w:rPr>
              <w:t>“</w:t>
            </w:r>
            <w:r>
              <w:rPr>
                <w:rFonts w:ascii="Times New Roman" w:hAnsi="Times New Roman"/>
              </w:rPr>
              <w:t>明</w:t>
            </w:r>
            <w:r>
              <w:rPr>
                <w:rFonts w:ascii="宋体" w:hAnsi="宋体"/>
              </w:rPr>
              <w:t>”“</w:t>
            </w:r>
            <w:r>
              <w:rPr>
                <w:rFonts w:ascii="Times New Roman" w:hAnsi="Times New Roman"/>
              </w:rPr>
              <w:t>暗</w:t>
            </w:r>
            <w:r>
              <w:rPr>
                <w:rFonts w:ascii="宋体" w:hAnsi="宋体"/>
              </w:rPr>
              <w:t>”</w:t>
            </w:r>
            <w:r>
              <w:rPr>
                <w:rFonts w:ascii="Times New Roman" w:hAnsi="Times New Roman"/>
              </w:rPr>
              <w:t>或</w:t>
            </w:r>
            <w:r>
              <w:rPr>
                <w:rFonts w:ascii="宋体" w:hAnsi="宋体"/>
              </w:rPr>
              <w:t>“</w:t>
            </w:r>
            <w:r>
              <w:rPr>
                <w:rFonts w:ascii="Times New Roman" w:hAnsi="Times New Roman"/>
              </w:rPr>
              <w:t>熄灭</w:t>
            </w:r>
            <w:r>
              <w:rPr>
                <w:rFonts w:ascii="宋体" w:hAnsi="宋体"/>
              </w:rPr>
              <w:t>”</w:t>
            </w:r>
            <w:r>
              <w:rPr>
                <w:rFonts w:ascii="Times New Roman" w:hAnsi="Times New Roman"/>
              </w:rPr>
              <w:t>) </w:t>
            </w:r>
          </w:p>
        </w:tc>
      </w:tr>
      <w:tr w14:paraId="5F654321">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trHeight w:val="953" w:hRule="atLeast"/>
          <w:jc w:val="center"/>
        </w:trPr>
        <w:tc>
          <w:tcPr>
            <w:tcW w:w="1272" w:type="dxa"/>
            <w:vMerge w:val="continue"/>
            <w:tcBorders>
              <w:top w:val="nil"/>
              <w:left w:val="single" w:color="000000" w:sz="2" w:space="0"/>
              <w:bottom w:val="nil"/>
              <w:right w:val="single" w:color="000000" w:sz="2" w:space="0"/>
            </w:tcBorders>
            <w:tcMar>
              <w:top w:w="23" w:type="dxa"/>
              <w:left w:w="23" w:type="dxa"/>
              <w:bottom w:w="23" w:type="dxa"/>
              <w:right w:w="23" w:type="dxa"/>
            </w:tcMar>
            <w:vAlign w:val="center"/>
          </w:tcPr>
          <w:p w14:paraId="7B29B945">
            <w:pPr>
              <w:pStyle w:val="4"/>
              <w:tabs>
                <w:tab w:val="left" w:pos="2127"/>
                <w:tab w:val="left" w:pos="4395"/>
                <w:tab w:val="left" w:pos="6521"/>
              </w:tabs>
              <w:spacing w:line="360" w:lineRule="auto"/>
              <w:rPr>
                <w:rFonts w:ascii="Times New Roman" w:hAnsi="Times New Roman"/>
              </w:rPr>
            </w:pPr>
          </w:p>
        </w:tc>
        <w:tc>
          <w:tcPr>
            <w:tcW w:w="1300"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6E5E64CB">
            <w:pPr>
              <w:tabs>
                <w:tab w:val="left" w:pos="2127"/>
                <w:tab w:val="left" w:pos="4395"/>
                <w:tab w:val="left" w:pos="6521"/>
              </w:tabs>
              <w:spacing w:line="360" w:lineRule="auto"/>
              <w:jc w:val="center"/>
              <w:rPr>
                <w:rFonts w:ascii="Times New Roman" w:hAnsi="Times New Roman"/>
              </w:rPr>
            </w:pPr>
            <w:r>
              <w:rPr>
                <w:rFonts w:ascii="Times New Roman" w:hAnsi="Times New Roman"/>
              </w:rPr>
              <w:t>电流表1</w:t>
            </w:r>
          </w:p>
        </w:tc>
        <w:tc>
          <w:tcPr>
            <w:tcW w:w="5084" w:type="dxa"/>
            <w:tcBorders>
              <w:top w:val="single" w:color="000000" w:sz="2" w:space="0"/>
              <w:left w:val="single" w:color="000000" w:sz="2" w:space="0"/>
              <w:bottom w:val="single" w:color="000000" w:sz="2" w:space="0"/>
              <w:right w:val="single" w:color="000000" w:sz="2" w:space="0"/>
            </w:tcBorders>
            <w:tcMar>
              <w:top w:w="23" w:type="dxa"/>
              <w:left w:w="28" w:type="dxa"/>
              <w:bottom w:w="23" w:type="dxa"/>
              <w:right w:w="28" w:type="dxa"/>
            </w:tcMar>
            <w:vAlign w:val="center"/>
          </w:tcPr>
          <w:p w14:paraId="45FD83FA">
            <w:pPr>
              <w:tabs>
                <w:tab w:val="left" w:pos="2127"/>
                <w:tab w:val="left" w:pos="4395"/>
                <w:tab w:val="left" w:pos="6521"/>
              </w:tabs>
              <w:spacing w:line="360" w:lineRule="auto"/>
              <w:rPr>
                <w:rFonts w:ascii="Times New Roman" w:hAnsi="Times New Roman"/>
              </w:rPr>
            </w:pPr>
            <w:r>
              <w:rPr>
                <w:rFonts w:ascii="Times New Roman" w:hAnsi="Times New Roman"/>
              </w:rPr>
              <w:t>电流表1的读数由</w:t>
            </w:r>
            <w:r>
              <w:rPr>
                <w:rFonts w:ascii="Times New Roman" w:hAnsi="Times New Roman"/>
                <w:u w:val="single"/>
              </w:rPr>
              <w:t>　　　</w:t>
            </w:r>
            <w:r>
              <w:rPr>
                <w:rFonts w:ascii="Times New Roman" w:hAnsi="Times New Roman"/>
              </w:rPr>
              <w:t>到</w:t>
            </w:r>
            <w:r>
              <w:rPr>
                <w:rFonts w:ascii="Times New Roman" w:hAnsi="Times New Roman"/>
                <w:u w:val="single"/>
              </w:rPr>
              <w:t>　　　</w:t>
            </w:r>
            <w:r>
              <w:rPr>
                <w:rFonts w:ascii="Times New Roman" w:hAnsi="Times New Roman"/>
              </w:rPr>
              <w:t>最后为</w:t>
            </w:r>
            <w:r>
              <w:rPr>
                <w:rFonts w:ascii="Times New Roman" w:hAnsi="Times New Roman"/>
                <w:u w:val="single"/>
              </w:rPr>
              <w:t>　　　</w:t>
            </w:r>
            <w:r>
              <w:rPr>
                <w:rFonts w:ascii="Times New Roman" w:hAnsi="Times New Roman"/>
              </w:rPr>
              <w:t>(均选填</w:t>
            </w:r>
            <w:r>
              <w:rPr>
                <w:rFonts w:ascii="宋体" w:hAnsi="宋体"/>
              </w:rPr>
              <w:t>“</w:t>
            </w:r>
            <w:r>
              <w:rPr>
                <w:rFonts w:ascii="Times New Roman" w:hAnsi="Times New Roman"/>
              </w:rPr>
              <w:t>大</w:t>
            </w:r>
            <w:r>
              <w:rPr>
                <w:rFonts w:ascii="宋体" w:hAnsi="宋体"/>
              </w:rPr>
              <w:t>”“</w:t>
            </w:r>
            <w:r>
              <w:rPr>
                <w:rFonts w:ascii="Times New Roman" w:hAnsi="Times New Roman"/>
              </w:rPr>
              <w:t>小</w:t>
            </w:r>
            <w:r>
              <w:rPr>
                <w:rFonts w:ascii="宋体" w:hAnsi="宋体"/>
              </w:rPr>
              <w:t>”</w:t>
            </w:r>
            <w:r>
              <w:rPr>
                <w:rFonts w:ascii="Times New Roman" w:hAnsi="Times New Roman"/>
              </w:rPr>
              <w:t>或</w:t>
            </w:r>
            <w:r>
              <w:rPr>
                <w:rFonts w:ascii="宋体" w:hAnsi="宋体"/>
              </w:rPr>
              <w:t>“</w:t>
            </w:r>
            <w:r>
              <w:rPr>
                <w:rFonts w:ascii="Times New Roman" w:hAnsi="Times New Roman"/>
              </w:rPr>
              <w:t>零</w:t>
            </w:r>
            <w:r>
              <w:rPr>
                <w:rFonts w:ascii="宋体" w:hAnsi="宋体"/>
              </w:rPr>
              <w:t>”</w:t>
            </w:r>
            <w:r>
              <w:rPr>
                <w:rFonts w:ascii="Times New Roman" w:hAnsi="Times New Roman"/>
              </w:rPr>
              <w:t>) </w:t>
            </w:r>
          </w:p>
        </w:tc>
      </w:tr>
      <w:tr w14:paraId="1CAFFEAE">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trHeight w:val="953" w:hRule="atLeast"/>
          <w:jc w:val="center"/>
        </w:trPr>
        <w:tc>
          <w:tcPr>
            <w:tcW w:w="1272" w:type="dxa"/>
            <w:vMerge w:val="continue"/>
            <w:tcBorders>
              <w:top w:val="nil"/>
              <w:left w:val="single" w:color="000000" w:sz="2" w:space="0"/>
              <w:bottom w:val="single" w:color="000000" w:sz="2" w:space="0"/>
              <w:right w:val="single" w:color="000000" w:sz="2" w:space="0"/>
            </w:tcBorders>
            <w:tcMar>
              <w:top w:w="23" w:type="dxa"/>
              <w:left w:w="23" w:type="dxa"/>
              <w:bottom w:w="23" w:type="dxa"/>
              <w:right w:w="23" w:type="dxa"/>
            </w:tcMar>
            <w:vAlign w:val="center"/>
          </w:tcPr>
          <w:p w14:paraId="715EE7DA">
            <w:pPr>
              <w:pStyle w:val="4"/>
              <w:tabs>
                <w:tab w:val="left" w:pos="2127"/>
                <w:tab w:val="left" w:pos="4395"/>
                <w:tab w:val="left" w:pos="6521"/>
              </w:tabs>
              <w:spacing w:line="360" w:lineRule="auto"/>
              <w:rPr>
                <w:rFonts w:ascii="Times New Roman" w:hAnsi="Times New Roman"/>
              </w:rPr>
            </w:pPr>
          </w:p>
        </w:tc>
        <w:tc>
          <w:tcPr>
            <w:tcW w:w="1300"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4F3B5EC0">
            <w:pPr>
              <w:tabs>
                <w:tab w:val="left" w:pos="2127"/>
                <w:tab w:val="left" w:pos="4395"/>
                <w:tab w:val="left" w:pos="6521"/>
              </w:tabs>
              <w:spacing w:line="360" w:lineRule="auto"/>
              <w:jc w:val="center"/>
              <w:rPr>
                <w:rFonts w:ascii="Times New Roman" w:hAnsi="Times New Roman"/>
              </w:rPr>
            </w:pPr>
            <w:r>
              <w:rPr>
                <w:rFonts w:ascii="Times New Roman" w:hAnsi="Times New Roman"/>
              </w:rPr>
              <w:t>电压表</w:t>
            </w:r>
          </w:p>
        </w:tc>
        <w:tc>
          <w:tcPr>
            <w:tcW w:w="5084" w:type="dxa"/>
            <w:tcBorders>
              <w:top w:val="single" w:color="000000" w:sz="2" w:space="0"/>
              <w:left w:val="single" w:color="000000" w:sz="2" w:space="0"/>
              <w:bottom w:val="single" w:color="000000" w:sz="2" w:space="0"/>
              <w:right w:val="single" w:color="000000" w:sz="2" w:space="0"/>
            </w:tcBorders>
            <w:tcMar>
              <w:top w:w="23" w:type="dxa"/>
              <w:left w:w="28" w:type="dxa"/>
              <w:bottom w:w="23" w:type="dxa"/>
              <w:right w:w="28" w:type="dxa"/>
            </w:tcMar>
            <w:vAlign w:val="center"/>
          </w:tcPr>
          <w:p w14:paraId="21B05FEE">
            <w:pPr>
              <w:tabs>
                <w:tab w:val="left" w:pos="2127"/>
                <w:tab w:val="left" w:pos="4395"/>
                <w:tab w:val="left" w:pos="6521"/>
              </w:tabs>
              <w:spacing w:line="360" w:lineRule="auto"/>
              <w:rPr>
                <w:rFonts w:ascii="Times New Roman" w:hAnsi="Times New Roman"/>
              </w:rPr>
            </w:pPr>
            <w:r>
              <w:rPr>
                <w:rFonts w:ascii="Times New Roman" w:hAnsi="Times New Roman"/>
              </w:rPr>
              <w:t>电压表的读数由</w:t>
            </w:r>
            <w:r>
              <w:rPr>
                <w:rFonts w:ascii="Times New Roman" w:hAnsi="Times New Roman"/>
                <w:u w:val="single"/>
              </w:rPr>
              <w:t>　　　</w:t>
            </w:r>
            <w:r>
              <w:rPr>
                <w:rFonts w:ascii="Times New Roman" w:hAnsi="Times New Roman"/>
              </w:rPr>
              <w:t>到</w:t>
            </w:r>
            <w:r>
              <w:rPr>
                <w:rFonts w:ascii="Times New Roman" w:hAnsi="Times New Roman"/>
                <w:u w:val="single"/>
              </w:rPr>
              <w:t>　　　</w:t>
            </w:r>
            <w:r>
              <w:rPr>
                <w:rFonts w:ascii="Times New Roman" w:hAnsi="Times New Roman"/>
              </w:rPr>
              <w:t>(均选填</w:t>
            </w:r>
            <w:r>
              <w:rPr>
                <w:rFonts w:ascii="宋体" w:hAnsi="宋体"/>
              </w:rPr>
              <w:t>“</w:t>
            </w:r>
            <w:r>
              <w:rPr>
                <w:rFonts w:ascii="Times New Roman" w:hAnsi="Times New Roman"/>
              </w:rPr>
              <w:t>大</w:t>
            </w:r>
            <w:r>
              <w:rPr>
                <w:rFonts w:ascii="宋体" w:hAnsi="宋体"/>
              </w:rPr>
              <w:t>”</w:t>
            </w:r>
            <w:r>
              <w:rPr>
                <w:rFonts w:ascii="Times New Roman" w:hAnsi="Times New Roman"/>
              </w:rPr>
              <w:t>或</w:t>
            </w:r>
            <w:r>
              <w:rPr>
                <w:rFonts w:ascii="宋体" w:hAnsi="宋体"/>
              </w:rPr>
              <w:t>“</w:t>
            </w:r>
            <w:r>
              <w:rPr>
                <w:rFonts w:ascii="Times New Roman" w:hAnsi="Times New Roman"/>
              </w:rPr>
              <w:t>小</w:t>
            </w:r>
            <w:r>
              <w:rPr>
                <w:rFonts w:ascii="宋体" w:hAnsi="宋体"/>
              </w:rPr>
              <w:t>”</w:t>
            </w:r>
            <w:r>
              <w:rPr>
                <w:rFonts w:ascii="Times New Roman" w:hAnsi="Times New Roman"/>
              </w:rPr>
              <w:t>)最后稳定为某一数值 </w:t>
            </w:r>
          </w:p>
        </w:tc>
      </w:tr>
      <w:tr w14:paraId="3511C014">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trHeight w:val="953" w:hRule="atLeast"/>
          <w:jc w:val="center"/>
        </w:trPr>
        <w:tc>
          <w:tcPr>
            <w:tcW w:w="1272" w:type="dxa"/>
            <w:vMerge w:val="restart"/>
            <w:tcBorders>
              <w:top w:val="single" w:color="000000" w:sz="2" w:space="0"/>
              <w:left w:val="single" w:color="000000" w:sz="2" w:space="0"/>
              <w:bottom w:val="nil"/>
              <w:right w:val="single" w:color="000000" w:sz="2" w:space="0"/>
            </w:tcBorders>
            <w:tcMar>
              <w:top w:w="23" w:type="dxa"/>
              <w:left w:w="23" w:type="dxa"/>
              <w:bottom w:w="23" w:type="dxa"/>
              <w:right w:w="23" w:type="dxa"/>
            </w:tcMar>
            <w:vAlign w:val="center"/>
          </w:tcPr>
          <w:p w14:paraId="52C41473">
            <w:pPr>
              <w:tabs>
                <w:tab w:val="left" w:pos="2127"/>
                <w:tab w:val="left" w:pos="4395"/>
                <w:tab w:val="left" w:pos="6521"/>
              </w:tabs>
              <w:spacing w:line="360" w:lineRule="auto"/>
              <w:jc w:val="center"/>
              <w:rPr>
                <w:rFonts w:ascii="Times New Roman" w:hAnsi="Times New Roman"/>
              </w:rPr>
            </w:pPr>
            <w:r>
              <w:rPr>
                <w:rFonts w:ascii="Times New Roman" w:hAnsi="Times New Roman"/>
              </w:rPr>
              <w:t>电容器</w:t>
            </w:r>
          </w:p>
          <w:p w14:paraId="1864D14A">
            <w:pPr>
              <w:tabs>
                <w:tab w:val="left" w:pos="2127"/>
                <w:tab w:val="left" w:pos="4395"/>
                <w:tab w:val="left" w:pos="6521"/>
              </w:tabs>
              <w:spacing w:line="360" w:lineRule="auto"/>
              <w:jc w:val="center"/>
              <w:rPr>
                <w:rFonts w:ascii="Times New Roman" w:hAnsi="Times New Roman"/>
              </w:rPr>
            </w:pPr>
            <w:r>
              <w:rPr>
                <w:rFonts w:ascii="Times New Roman" w:hAnsi="Times New Roman"/>
              </w:rPr>
              <w:t>放电</w:t>
            </w:r>
          </w:p>
        </w:tc>
        <w:tc>
          <w:tcPr>
            <w:tcW w:w="1300"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429172A5">
            <w:pPr>
              <w:tabs>
                <w:tab w:val="left" w:pos="2127"/>
                <w:tab w:val="left" w:pos="4395"/>
                <w:tab w:val="left" w:pos="6521"/>
              </w:tabs>
              <w:spacing w:line="360" w:lineRule="auto"/>
              <w:jc w:val="center"/>
              <w:rPr>
                <w:rFonts w:ascii="Times New Roman" w:hAnsi="Times New Roman"/>
              </w:rPr>
            </w:pPr>
            <w:r>
              <w:rPr>
                <w:rFonts w:ascii="Times New Roman" w:hAnsi="Times New Roman"/>
              </w:rPr>
              <w:t>灯泡</w:t>
            </w:r>
          </w:p>
        </w:tc>
        <w:tc>
          <w:tcPr>
            <w:tcW w:w="5084" w:type="dxa"/>
            <w:tcBorders>
              <w:top w:val="single" w:color="000000" w:sz="2" w:space="0"/>
              <w:left w:val="single" w:color="000000" w:sz="2" w:space="0"/>
              <w:bottom w:val="single" w:color="000000" w:sz="2" w:space="0"/>
              <w:right w:val="single" w:color="000000" w:sz="2" w:space="0"/>
            </w:tcBorders>
            <w:tcMar>
              <w:top w:w="23" w:type="dxa"/>
              <w:left w:w="28" w:type="dxa"/>
              <w:bottom w:w="23" w:type="dxa"/>
              <w:right w:w="28" w:type="dxa"/>
            </w:tcMar>
            <w:vAlign w:val="center"/>
          </w:tcPr>
          <w:p w14:paraId="2E75BA0F">
            <w:pPr>
              <w:tabs>
                <w:tab w:val="left" w:pos="2127"/>
                <w:tab w:val="left" w:pos="4395"/>
                <w:tab w:val="left" w:pos="6521"/>
              </w:tabs>
              <w:spacing w:line="360" w:lineRule="auto"/>
              <w:rPr>
                <w:rFonts w:ascii="Times New Roman" w:hAnsi="Times New Roman"/>
              </w:rPr>
            </w:pPr>
            <w:r>
              <w:rPr>
                <w:rFonts w:ascii="Times New Roman" w:hAnsi="Times New Roman"/>
              </w:rPr>
              <w:t>灯泡的亮度由</w:t>
            </w:r>
            <w:r>
              <w:rPr>
                <w:rFonts w:ascii="Times New Roman" w:hAnsi="Times New Roman"/>
                <w:u w:val="single"/>
              </w:rPr>
              <w:t>　　　</w:t>
            </w:r>
            <w:r>
              <w:rPr>
                <w:rFonts w:ascii="Times New Roman" w:hAnsi="Times New Roman"/>
              </w:rPr>
              <w:t>到</w:t>
            </w:r>
            <w:r>
              <w:rPr>
                <w:rFonts w:ascii="Times New Roman" w:hAnsi="Times New Roman"/>
                <w:u w:val="single"/>
              </w:rPr>
              <w:t>　　　</w:t>
            </w:r>
            <w:r>
              <w:rPr>
                <w:rFonts w:ascii="Times New Roman" w:hAnsi="Times New Roman"/>
              </w:rPr>
              <w:t>最后</w:t>
            </w:r>
            <w:r>
              <w:rPr>
                <w:rFonts w:ascii="Times New Roman" w:hAnsi="Times New Roman"/>
                <w:u w:val="single"/>
              </w:rPr>
              <w:t>　　　　</w:t>
            </w:r>
            <w:r>
              <w:rPr>
                <w:rFonts w:ascii="Times New Roman" w:hAnsi="Times New Roman"/>
              </w:rPr>
              <w:t>(均选填</w:t>
            </w:r>
            <w:r>
              <w:rPr>
                <w:rFonts w:ascii="宋体" w:hAnsi="宋体"/>
              </w:rPr>
              <w:t>“</w:t>
            </w:r>
            <w:r>
              <w:rPr>
                <w:rFonts w:ascii="Times New Roman" w:hAnsi="Times New Roman"/>
              </w:rPr>
              <w:t>明</w:t>
            </w:r>
            <w:r>
              <w:rPr>
                <w:rFonts w:ascii="宋体" w:hAnsi="宋体"/>
              </w:rPr>
              <w:t>”“</w:t>
            </w:r>
            <w:r>
              <w:rPr>
                <w:rFonts w:ascii="Times New Roman" w:hAnsi="Times New Roman"/>
              </w:rPr>
              <w:t>暗</w:t>
            </w:r>
            <w:r>
              <w:rPr>
                <w:rFonts w:ascii="宋体" w:hAnsi="宋体"/>
              </w:rPr>
              <w:t>”</w:t>
            </w:r>
            <w:r>
              <w:rPr>
                <w:rFonts w:ascii="Times New Roman" w:hAnsi="Times New Roman"/>
              </w:rPr>
              <w:t>或</w:t>
            </w:r>
            <w:r>
              <w:rPr>
                <w:rFonts w:ascii="宋体" w:hAnsi="宋体"/>
              </w:rPr>
              <w:t>“</w:t>
            </w:r>
            <w:r>
              <w:rPr>
                <w:rFonts w:ascii="Times New Roman" w:hAnsi="Times New Roman"/>
              </w:rPr>
              <w:t>熄灭</w:t>
            </w:r>
            <w:r>
              <w:rPr>
                <w:rFonts w:ascii="宋体" w:hAnsi="宋体"/>
              </w:rPr>
              <w:t>”</w:t>
            </w:r>
            <w:r>
              <w:rPr>
                <w:rFonts w:ascii="Times New Roman" w:hAnsi="Times New Roman"/>
              </w:rPr>
              <w:t>) </w:t>
            </w:r>
          </w:p>
        </w:tc>
      </w:tr>
      <w:tr w14:paraId="33376AA8">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trHeight w:val="953" w:hRule="atLeast"/>
          <w:jc w:val="center"/>
        </w:trPr>
        <w:tc>
          <w:tcPr>
            <w:tcW w:w="1272" w:type="dxa"/>
            <w:vMerge w:val="continue"/>
            <w:tcBorders>
              <w:top w:val="nil"/>
              <w:left w:val="single" w:color="000000" w:sz="2" w:space="0"/>
              <w:bottom w:val="nil"/>
              <w:right w:val="single" w:color="000000" w:sz="2" w:space="0"/>
            </w:tcBorders>
            <w:tcMar>
              <w:top w:w="23" w:type="dxa"/>
              <w:left w:w="23" w:type="dxa"/>
              <w:bottom w:w="23" w:type="dxa"/>
              <w:right w:w="23" w:type="dxa"/>
            </w:tcMar>
            <w:vAlign w:val="center"/>
          </w:tcPr>
          <w:p w14:paraId="6F220192">
            <w:pPr>
              <w:pStyle w:val="4"/>
              <w:tabs>
                <w:tab w:val="left" w:pos="2127"/>
                <w:tab w:val="left" w:pos="4395"/>
                <w:tab w:val="left" w:pos="6521"/>
              </w:tabs>
              <w:spacing w:line="360" w:lineRule="auto"/>
              <w:rPr>
                <w:rFonts w:ascii="Times New Roman" w:hAnsi="Times New Roman"/>
              </w:rPr>
            </w:pPr>
          </w:p>
        </w:tc>
        <w:tc>
          <w:tcPr>
            <w:tcW w:w="1300"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4FDC4D85">
            <w:pPr>
              <w:tabs>
                <w:tab w:val="left" w:pos="2127"/>
                <w:tab w:val="left" w:pos="4395"/>
                <w:tab w:val="left" w:pos="6521"/>
              </w:tabs>
              <w:spacing w:line="360" w:lineRule="auto"/>
              <w:jc w:val="center"/>
              <w:rPr>
                <w:rFonts w:ascii="Times New Roman" w:hAnsi="Times New Roman"/>
              </w:rPr>
            </w:pPr>
            <w:r>
              <w:rPr>
                <w:rFonts w:ascii="Times New Roman" w:hAnsi="Times New Roman"/>
              </w:rPr>
              <w:t>电流表2</w:t>
            </w:r>
          </w:p>
        </w:tc>
        <w:tc>
          <w:tcPr>
            <w:tcW w:w="5084" w:type="dxa"/>
            <w:tcBorders>
              <w:top w:val="single" w:color="000000" w:sz="2" w:space="0"/>
              <w:left w:val="single" w:color="000000" w:sz="2" w:space="0"/>
              <w:bottom w:val="single" w:color="000000" w:sz="2" w:space="0"/>
              <w:right w:val="single" w:color="000000" w:sz="2" w:space="0"/>
            </w:tcBorders>
            <w:tcMar>
              <w:top w:w="23" w:type="dxa"/>
              <w:left w:w="28" w:type="dxa"/>
              <w:bottom w:w="23" w:type="dxa"/>
              <w:right w:w="28" w:type="dxa"/>
            </w:tcMar>
            <w:vAlign w:val="center"/>
          </w:tcPr>
          <w:p w14:paraId="642D4FB7">
            <w:pPr>
              <w:tabs>
                <w:tab w:val="left" w:pos="2127"/>
                <w:tab w:val="left" w:pos="4395"/>
                <w:tab w:val="left" w:pos="6521"/>
              </w:tabs>
              <w:spacing w:line="360" w:lineRule="auto"/>
              <w:rPr>
                <w:rFonts w:ascii="Times New Roman" w:hAnsi="Times New Roman"/>
              </w:rPr>
            </w:pPr>
            <w:r>
              <w:rPr>
                <w:rFonts w:ascii="Times New Roman" w:hAnsi="Times New Roman"/>
              </w:rPr>
              <w:t>电流表2的读数由</w:t>
            </w:r>
            <w:r>
              <w:rPr>
                <w:rFonts w:ascii="Times New Roman" w:hAnsi="Times New Roman"/>
                <w:u w:val="single"/>
              </w:rPr>
              <w:t>　　　</w:t>
            </w:r>
            <w:r>
              <w:rPr>
                <w:rFonts w:ascii="Times New Roman" w:hAnsi="Times New Roman"/>
              </w:rPr>
              <w:t>到</w:t>
            </w:r>
            <w:r>
              <w:rPr>
                <w:rFonts w:ascii="Times New Roman" w:hAnsi="Times New Roman"/>
                <w:u w:val="single"/>
              </w:rPr>
              <w:t>　　　</w:t>
            </w:r>
            <w:r>
              <w:rPr>
                <w:rFonts w:ascii="Times New Roman" w:hAnsi="Times New Roman"/>
              </w:rPr>
              <w:t>最后为</w:t>
            </w:r>
            <w:r>
              <w:rPr>
                <w:rFonts w:ascii="Times New Roman" w:hAnsi="Times New Roman"/>
                <w:u w:val="single"/>
              </w:rPr>
              <w:t>　　　</w:t>
            </w:r>
            <w:r>
              <w:rPr>
                <w:rFonts w:ascii="Times New Roman" w:hAnsi="Times New Roman"/>
              </w:rPr>
              <w:t>(均选填</w:t>
            </w:r>
            <w:r>
              <w:rPr>
                <w:rFonts w:ascii="宋体" w:hAnsi="宋体"/>
              </w:rPr>
              <w:t>“</w:t>
            </w:r>
            <w:r>
              <w:rPr>
                <w:rFonts w:ascii="Times New Roman" w:hAnsi="Times New Roman"/>
              </w:rPr>
              <w:t>大</w:t>
            </w:r>
            <w:r>
              <w:rPr>
                <w:rFonts w:ascii="宋体" w:hAnsi="宋体"/>
              </w:rPr>
              <w:t>”“</w:t>
            </w:r>
            <w:r>
              <w:rPr>
                <w:rFonts w:ascii="Times New Roman" w:hAnsi="Times New Roman"/>
              </w:rPr>
              <w:t>小</w:t>
            </w:r>
            <w:r>
              <w:rPr>
                <w:rFonts w:ascii="宋体" w:hAnsi="宋体"/>
              </w:rPr>
              <w:t>”</w:t>
            </w:r>
            <w:r>
              <w:rPr>
                <w:rFonts w:ascii="Times New Roman" w:hAnsi="Times New Roman"/>
              </w:rPr>
              <w:t>或</w:t>
            </w:r>
            <w:r>
              <w:rPr>
                <w:rFonts w:ascii="宋体" w:hAnsi="宋体"/>
              </w:rPr>
              <w:t>“</w:t>
            </w:r>
            <w:r>
              <w:rPr>
                <w:rFonts w:ascii="Times New Roman" w:hAnsi="Times New Roman"/>
              </w:rPr>
              <w:t>零</w:t>
            </w:r>
            <w:r>
              <w:rPr>
                <w:rFonts w:ascii="宋体" w:hAnsi="宋体"/>
              </w:rPr>
              <w:t>”</w:t>
            </w:r>
            <w:r>
              <w:rPr>
                <w:rFonts w:ascii="Times New Roman" w:hAnsi="Times New Roman"/>
              </w:rPr>
              <w:t>) </w:t>
            </w:r>
          </w:p>
        </w:tc>
      </w:tr>
      <w:tr w14:paraId="45BDA30C">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trHeight w:val="953" w:hRule="atLeast"/>
          <w:jc w:val="center"/>
        </w:trPr>
        <w:tc>
          <w:tcPr>
            <w:tcW w:w="1272" w:type="dxa"/>
            <w:vMerge w:val="continue"/>
            <w:tcBorders>
              <w:top w:val="nil"/>
              <w:left w:val="single" w:color="000000" w:sz="2" w:space="0"/>
              <w:bottom w:val="single" w:color="000000" w:sz="2" w:space="0"/>
              <w:right w:val="single" w:color="000000" w:sz="2" w:space="0"/>
            </w:tcBorders>
            <w:tcMar>
              <w:top w:w="23" w:type="dxa"/>
              <w:left w:w="23" w:type="dxa"/>
              <w:bottom w:w="23" w:type="dxa"/>
              <w:right w:w="23" w:type="dxa"/>
            </w:tcMar>
            <w:vAlign w:val="center"/>
          </w:tcPr>
          <w:p w14:paraId="4E0395DA">
            <w:pPr>
              <w:pStyle w:val="4"/>
              <w:tabs>
                <w:tab w:val="left" w:pos="2127"/>
                <w:tab w:val="left" w:pos="4395"/>
                <w:tab w:val="left" w:pos="6521"/>
              </w:tabs>
              <w:spacing w:line="360" w:lineRule="auto"/>
              <w:rPr>
                <w:rFonts w:ascii="Times New Roman" w:hAnsi="Times New Roman"/>
              </w:rPr>
            </w:pPr>
          </w:p>
        </w:tc>
        <w:tc>
          <w:tcPr>
            <w:tcW w:w="1300"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34976C0A">
            <w:pPr>
              <w:tabs>
                <w:tab w:val="left" w:pos="2127"/>
                <w:tab w:val="left" w:pos="4395"/>
                <w:tab w:val="left" w:pos="6521"/>
              </w:tabs>
              <w:spacing w:line="360" w:lineRule="auto"/>
              <w:jc w:val="center"/>
              <w:rPr>
                <w:rFonts w:ascii="Times New Roman" w:hAnsi="Times New Roman"/>
              </w:rPr>
            </w:pPr>
            <w:r>
              <w:rPr>
                <w:rFonts w:ascii="Times New Roman" w:hAnsi="Times New Roman"/>
              </w:rPr>
              <w:t>电压表</w:t>
            </w:r>
          </w:p>
        </w:tc>
        <w:tc>
          <w:tcPr>
            <w:tcW w:w="5084" w:type="dxa"/>
            <w:tcBorders>
              <w:top w:val="single" w:color="000000" w:sz="2" w:space="0"/>
              <w:left w:val="single" w:color="000000" w:sz="2" w:space="0"/>
              <w:bottom w:val="single" w:color="000000" w:sz="2" w:space="0"/>
              <w:right w:val="single" w:color="000000" w:sz="2" w:space="0"/>
            </w:tcBorders>
            <w:tcMar>
              <w:top w:w="23" w:type="dxa"/>
              <w:left w:w="28" w:type="dxa"/>
              <w:bottom w:w="23" w:type="dxa"/>
              <w:right w:w="28" w:type="dxa"/>
            </w:tcMar>
            <w:vAlign w:val="center"/>
          </w:tcPr>
          <w:p w14:paraId="0EA1C966">
            <w:pPr>
              <w:tabs>
                <w:tab w:val="left" w:pos="2127"/>
                <w:tab w:val="left" w:pos="4395"/>
                <w:tab w:val="left" w:pos="6521"/>
              </w:tabs>
              <w:spacing w:line="360" w:lineRule="auto"/>
              <w:rPr>
                <w:rFonts w:ascii="Times New Roman" w:hAnsi="Times New Roman"/>
              </w:rPr>
            </w:pPr>
            <w:r>
              <w:rPr>
                <w:rFonts w:ascii="Times New Roman" w:hAnsi="Times New Roman"/>
              </w:rPr>
              <w:t>电压表的读数由</w:t>
            </w:r>
            <w:r>
              <w:rPr>
                <w:rFonts w:ascii="Times New Roman" w:hAnsi="Times New Roman"/>
                <w:u w:val="single"/>
              </w:rPr>
              <w:t>　　　</w:t>
            </w:r>
            <w:r>
              <w:rPr>
                <w:rFonts w:ascii="Times New Roman" w:hAnsi="Times New Roman"/>
              </w:rPr>
              <w:t>到</w:t>
            </w:r>
            <w:r>
              <w:rPr>
                <w:rFonts w:ascii="Times New Roman" w:hAnsi="Times New Roman"/>
                <w:u w:val="single"/>
              </w:rPr>
              <w:t>　　　</w:t>
            </w:r>
            <w:r>
              <w:rPr>
                <w:rFonts w:ascii="Times New Roman" w:hAnsi="Times New Roman"/>
              </w:rPr>
              <w:t>最后为</w:t>
            </w:r>
            <w:r>
              <w:rPr>
                <w:rFonts w:ascii="Times New Roman" w:hAnsi="Times New Roman"/>
                <w:u w:val="single"/>
              </w:rPr>
              <w:t>　　　</w:t>
            </w:r>
            <w:r>
              <w:rPr>
                <w:rFonts w:ascii="Times New Roman" w:hAnsi="Times New Roman"/>
              </w:rPr>
              <w:t>(均选填</w:t>
            </w:r>
            <w:r>
              <w:rPr>
                <w:rFonts w:ascii="宋体" w:hAnsi="宋体"/>
              </w:rPr>
              <w:t>“</w:t>
            </w:r>
            <w:r>
              <w:rPr>
                <w:rFonts w:ascii="Times New Roman" w:hAnsi="Times New Roman"/>
              </w:rPr>
              <w:t>大</w:t>
            </w:r>
            <w:r>
              <w:rPr>
                <w:rFonts w:ascii="宋体" w:hAnsi="宋体"/>
              </w:rPr>
              <w:t>”“</w:t>
            </w:r>
            <w:r>
              <w:rPr>
                <w:rFonts w:ascii="Times New Roman" w:hAnsi="Times New Roman"/>
              </w:rPr>
              <w:t>小</w:t>
            </w:r>
            <w:r>
              <w:rPr>
                <w:rFonts w:ascii="宋体" w:hAnsi="宋体"/>
              </w:rPr>
              <w:t>”</w:t>
            </w:r>
            <w:r>
              <w:rPr>
                <w:rFonts w:ascii="Times New Roman" w:hAnsi="Times New Roman"/>
              </w:rPr>
              <w:t>或</w:t>
            </w:r>
            <w:r>
              <w:rPr>
                <w:rFonts w:ascii="宋体" w:hAnsi="宋体"/>
              </w:rPr>
              <w:t>“</w:t>
            </w:r>
            <w:r>
              <w:rPr>
                <w:rFonts w:ascii="Times New Roman" w:hAnsi="Times New Roman"/>
              </w:rPr>
              <w:t>零</w:t>
            </w:r>
            <w:r>
              <w:rPr>
                <w:rFonts w:ascii="宋体" w:hAnsi="宋体"/>
              </w:rPr>
              <w:t>”</w:t>
            </w:r>
            <w:r>
              <w:rPr>
                <w:rFonts w:ascii="Times New Roman" w:hAnsi="Times New Roman"/>
              </w:rPr>
              <w:t>) </w:t>
            </w:r>
          </w:p>
        </w:tc>
      </w:tr>
    </w:tbl>
    <w:p w14:paraId="304B12E7">
      <w:pPr>
        <w:tabs>
          <w:tab w:val="left" w:pos="2127"/>
          <w:tab w:val="left" w:pos="4395"/>
          <w:tab w:val="left" w:pos="6521"/>
        </w:tabs>
        <w:spacing w:line="360" w:lineRule="auto"/>
        <w:jc w:val="center"/>
        <w:rPr>
          <w:rFonts w:ascii="Times New Roman" w:hAnsi="Times New Roman"/>
        </w:rPr>
      </w:pPr>
    </w:p>
    <w:p w14:paraId="2881BDBA">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828675" cy="215900"/>
            <wp:effectExtent l="0" t="0" r="9525" b="0"/>
            <wp:docPr id="636" name="image2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image29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828675" cy="215900"/>
                    </a:xfrm>
                    <a:prstGeom prst="rect">
                      <a:avLst/>
                    </a:prstGeom>
                    <a:noFill/>
                    <a:ln>
                      <a:noFill/>
                    </a:ln>
                  </pic:spPr>
                </pic:pic>
              </a:graphicData>
            </a:graphic>
          </wp:inline>
        </w:drawing>
      </w:r>
    </w:p>
    <w:p w14:paraId="4DDB9C06">
      <w:pPr>
        <w:tabs>
          <w:tab w:val="left" w:pos="2127"/>
          <w:tab w:val="left" w:pos="4395"/>
          <w:tab w:val="left" w:pos="6521"/>
        </w:tabs>
        <w:spacing w:line="360" w:lineRule="auto"/>
        <w:rPr>
          <w:rFonts w:ascii="Times New Roman" w:hAnsi="Times New Roman"/>
        </w:rPr>
      </w:pPr>
      <w:r>
        <w:rPr>
          <w:rFonts w:ascii="Times New Roman" w:hAnsi="Times New Roman"/>
          <w:w w:val="104"/>
        </w:rPr>
        <w:t>一位同学用电流传感器(相当于电流表)观察电容器放电过程的变化情况得到的</w:t>
      </w:r>
      <w:r>
        <w:rPr>
          <w:rFonts w:ascii="Times New Roman" w:hAnsi="Times New Roman"/>
          <w:i/>
          <w:w w:val="104"/>
        </w:rPr>
        <w:t>I</w:t>
      </w:r>
      <w:r>
        <w:rPr>
          <w:rFonts w:ascii="Times New Roman" w:hAnsi="Times New Roman"/>
          <w:w w:val="104"/>
        </w:rPr>
        <w:t>-</w:t>
      </w:r>
      <w:r>
        <w:rPr>
          <w:rFonts w:ascii="Times New Roman" w:hAnsi="Times New Roman"/>
          <w:i/>
          <w:w w:val="104"/>
        </w:rPr>
        <w:t>t</w:t>
      </w:r>
      <w:r>
        <w:rPr>
          <w:rFonts w:ascii="Times New Roman" w:hAnsi="Times New Roman"/>
          <w:w w:val="104"/>
        </w:rPr>
        <w:t>图像如图所示，电源电压为直流8 V。</w:t>
      </w:r>
    </w:p>
    <w:p w14:paraId="20F5D108">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979295" cy="1226185"/>
            <wp:effectExtent l="0" t="0" r="1905" b="0"/>
            <wp:docPr id="637" name="image2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image29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979295" cy="1226185"/>
                    </a:xfrm>
                    <a:prstGeom prst="rect">
                      <a:avLst/>
                    </a:prstGeom>
                    <a:noFill/>
                    <a:ln>
                      <a:noFill/>
                    </a:ln>
                  </pic:spPr>
                </pic:pic>
              </a:graphicData>
            </a:graphic>
          </wp:inline>
        </w:drawing>
      </w:r>
    </w:p>
    <w:p w14:paraId="53AB2D60">
      <w:pPr>
        <w:tabs>
          <w:tab w:val="left" w:pos="2127"/>
          <w:tab w:val="left" w:pos="4395"/>
          <w:tab w:val="left" w:pos="6521"/>
        </w:tabs>
        <w:spacing w:line="360" w:lineRule="auto"/>
        <w:rPr>
          <w:rFonts w:ascii="Times New Roman" w:hAnsi="Times New Roman"/>
        </w:rPr>
      </w:pPr>
      <w:r>
        <w:rPr>
          <w:rFonts w:ascii="Times New Roman" w:hAnsi="Times New Roman"/>
          <w:w w:val="104"/>
        </w:rPr>
        <w:t>(1)在图中画一个竖立的狭长矩形(在图的最左边)，它的面积的物理意义是什么。</w:t>
      </w:r>
    </w:p>
    <w:p w14:paraId="3A175FAA">
      <w:pPr>
        <w:tabs>
          <w:tab w:val="left" w:pos="2127"/>
          <w:tab w:val="left" w:pos="4395"/>
          <w:tab w:val="left" w:pos="6521"/>
        </w:tabs>
        <w:spacing w:line="360" w:lineRule="auto"/>
        <w:rPr>
          <w:rFonts w:ascii="Times New Roman" w:hAnsi="Times New Roman"/>
        </w:rPr>
      </w:pPr>
      <w:r>
        <w:rPr>
          <w:rFonts w:ascii="Times New Roman" w:hAnsi="Times New Roman"/>
          <w:w w:val="104"/>
        </w:rPr>
        <w:t>(2)怎样根据</w:t>
      </w:r>
      <w:r>
        <w:rPr>
          <w:rFonts w:ascii="Times New Roman" w:hAnsi="Times New Roman"/>
          <w:i/>
          <w:w w:val="104"/>
        </w:rPr>
        <w:t>I</w:t>
      </w:r>
      <w:r>
        <w:rPr>
          <w:rFonts w:ascii="Times New Roman" w:hAnsi="Times New Roman"/>
          <w:w w:val="104"/>
        </w:rPr>
        <w:t>-</w:t>
      </w:r>
      <w:r>
        <w:rPr>
          <w:rFonts w:ascii="Times New Roman" w:hAnsi="Times New Roman"/>
          <w:i/>
          <w:w w:val="104"/>
        </w:rPr>
        <w:t>t</w:t>
      </w:r>
      <w:r>
        <w:rPr>
          <w:rFonts w:ascii="Times New Roman" w:hAnsi="Times New Roman"/>
          <w:w w:val="104"/>
        </w:rPr>
        <w:t>图像估算电容器在全部放电过程中释放的电荷量？试着算一算。</w:t>
      </w:r>
    </w:p>
    <w:p w14:paraId="2F4FD1E5">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05FAD211">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369EFE3B">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13819BAA">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638" name="image2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image295.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3</w:t>
      </w:r>
      <w:r>
        <w:rPr>
          <w:rFonts w:ascii="Times New Roman" w:hAnsi="Times New Roman"/>
        </w:rPr>
        <w:drawing>
          <wp:inline distT="0" distB="0" distL="0" distR="0">
            <wp:extent cx="34925" cy="105410"/>
            <wp:effectExtent l="0" t="0" r="3175" b="8890"/>
            <wp:docPr id="639" name="image2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image296.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eastAsia="楷体"/>
          <w:w w:val="104"/>
        </w:rPr>
        <w:t>(</w:t>
      </w:r>
      <w:r>
        <w:rPr>
          <w:rFonts w:ascii="Times New Roman" w:hAnsi="Times New Roman"/>
          <w:w w:val="104"/>
        </w:rPr>
        <w:t>2024·</w:t>
      </w:r>
      <w:r>
        <w:rPr>
          <w:rFonts w:ascii="Times New Roman" w:hAnsi="Times New Roman" w:eastAsia="楷体"/>
          <w:w w:val="104"/>
        </w:rPr>
        <w:t>莆田市高二期中)</w:t>
      </w:r>
      <w:r>
        <w:rPr>
          <w:rFonts w:ascii="Times New Roman" w:hAnsi="Times New Roman"/>
          <w:w w:val="104"/>
        </w:rPr>
        <w:t>如图甲是利用电流传感器系统研究电容器的充、放电过程。电路中的电流传感器可以捕捉瞬时的电流变化。图甲直流电源电压为8 V，充电前电容器带电荷量为零。先使S与</w:t>
      </w:r>
      <w:r>
        <w:rPr>
          <w:rFonts w:ascii="宋体" w:hAnsi="宋体"/>
          <w:w w:val="104"/>
        </w:rPr>
        <w:t>“</w:t>
      </w:r>
      <w:r>
        <w:rPr>
          <w:rFonts w:ascii="Times New Roman" w:hAnsi="Times New Roman"/>
          <w:w w:val="104"/>
        </w:rPr>
        <w:t>1</w:t>
      </w:r>
      <w:r>
        <w:rPr>
          <w:rFonts w:ascii="宋体" w:hAnsi="宋体"/>
          <w:w w:val="104"/>
        </w:rPr>
        <w:t>”</w:t>
      </w:r>
      <w:r>
        <w:rPr>
          <w:rFonts w:ascii="Times New Roman" w:hAnsi="Times New Roman"/>
          <w:w w:val="104"/>
        </w:rPr>
        <w:t>端相连，电源向电容器充电。充电结束后，使S与</w:t>
      </w:r>
      <w:r>
        <w:rPr>
          <w:rFonts w:ascii="宋体" w:hAnsi="宋体"/>
          <w:w w:val="104"/>
        </w:rPr>
        <w:t>“</w:t>
      </w:r>
      <w:r>
        <w:rPr>
          <w:rFonts w:ascii="Times New Roman" w:hAnsi="Times New Roman"/>
          <w:w w:val="104"/>
        </w:rPr>
        <w:t>2</w:t>
      </w:r>
      <w:r>
        <w:rPr>
          <w:rFonts w:ascii="宋体" w:hAnsi="宋体"/>
          <w:w w:val="104"/>
        </w:rPr>
        <w:t>”</w:t>
      </w:r>
      <w:r>
        <w:rPr>
          <w:rFonts w:ascii="Times New Roman" w:hAnsi="Times New Roman"/>
          <w:w w:val="104"/>
        </w:rPr>
        <w:t>端相连，直至放电完毕。计算机记录的电流随时间变化的</w:t>
      </w:r>
      <w:r>
        <w:rPr>
          <w:rFonts w:ascii="Times New Roman" w:hAnsi="Times New Roman"/>
          <w:i/>
          <w:w w:val="104"/>
        </w:rPr>
        <w:t>I</w:t>
      </w:r>
      <w:r>
        <w:rPr>
          <w:rFonts w:ascii="Times New Roman" w:hAnsi="Times New Roman"/>
          <w:w w:val="104"/>
        </w:rPr>
        <w:t>-</w:t>
      </w:r>
      <w:r>
        <w:rPr>
          <w:rFonts w:ascii="Times New Roman" w:hAnsi="Times New Roman"/>
          <w:i/>
          <w:w w:val="104"/>
        </w:rPr>
        <w:t>t</w:t>
      </w:r>
      <w:r>
        <w:rPr>
          <w:rFonts w:ascii="Times New Roman" w:hAnsi="Times New Roman"/>
          <w:w w:val="104"/>
        </w:rPr>
        <w:t>曲线如图乙所示。</w:t>
      </w:r>
    </w:p>
    <w:p w14:paraId="4E81936B">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1331595" cy="1150620"/>
            <wp:effectExtent l="0" t="0" r="1905" b="0"/>
            <wp:docPr id="640" name="image2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image297.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331595" cy="1150620"/>
                    </a:xfrm>
                    <a:prstGeom prst="rect">
                      <a:avLst/>
                    </a:prstGeom>
                    <a:noFill/>
                    <a:ln>
                      <a:noFill/>
                    </a:ln>
                  </pic:spPr>
                </pic:pic>
              </a:graphicData>
            </a:graphic>
          </wp:inline>
        </w:drawing>
      </w:r>
    </w:p>
    <w:p w14:paraId="59484009">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657985" cy="1045210"/>
            <wp:effectExtent l="0" t="0" r="0" b="2540"/>
            <wp:docPr id="641" name="image2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image298.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657985" cy="1045210"/>
                    </a:xfrm>
                    <a:prstGeom prst="rect">
                      <a:avLst/>
                    </a:prstGeom>
                    <a:noFill/>
                    <a:ln>
                      <a:noFill/>
                    </a:ln>
                  </pic:spPr>
                </pic:pic>
              </a:graphicData>
            </a:graphic>
          </wp:inline>
        </w:drawing>
      </w:r>
    </w:p>
    <w:p w14:paraId="5AB71FEE">
      <w:pPr>
        <w:tabs>
          <w:tab w:val="left" w:pos="2127"/>
          <w:tab w:val="left" w:pos="4395"/>
          <w:tab w:val="left" w:pos="6521"/>
        </w:tabs>
        <w:spacing w:line="360" w:lineRule="auto"/>
        <w:rPr>
          <w:rFonts w:ascii="Times New Roman" w:hAnsi="Times New Roman"/>
        </w:rPr>
      </w:pPr>
      <w:r>
        <w:rPr>
          <w:rFonts w:ascii="Times New Roman" w:hAnsi="Times New Roman"/>
          <w:w w:val="104"/>
        </w:rPr>
        <w:t>(1)在电容器充电与放电过程中，通过电阻</w:t>
      </w:r>
      <w:r>
        <w:rPr>
          <w:rFonts w:ascii="Times New Roman" w:hAnsi="Times New Roman"/>
          <w:i/>
          <w:w w:val="104"/>
        </w:rPr>
        <w:t>R</w:t>
      </w:r>
      <w:r>
        <w:rPr>
          <w:rFonts w:ascii="Times New Roman" w:hAnsi="Times New Roman"/>
          <w:w w:val="104"/>
          <w:vertAlign w:val="subscript"/>
        </w:rPr>
        <w:t>0</w:t>
      </w:r>
      <w:r>
        <w:rPr>
          <w:rFonts w:ascii="Times New Roman" w:hAnsi="Times New Roman"/>
          <w:w w:val="104"/>
        </w:rPr>
        <w:t>的电流方向</w:t>
      </w:r>
      <w:r>
        <w:rPr>
          <w:rFonts w:ascii="Times New Roman" w:hAnsi="Times New Roman"/>
          <w:w w:val="104"/>
          <w:u w:val="single"/>
        </w:rPr>
        <w:t>　　　</w:t>
      </w:r>
      <w:r>
        <w:rPr>
          <w:rFonts w:ascii="Times New Roman" w:hAnsi="Times New Roman"/>
          <w:w w:val="104"/>
        </w:rPr>
        <w:t>(选填</w:t>
      </w:r>
      <w:r>
        <w:rPr>
          <w:rFonts w:ascii="宋体" w:hAnsi="宋体"/>
          <w:w w:val="104"/>
        </w:rPr>
        <w:t>“</w:t>
      </w:r>
      <w:r>
        <w:rPr>
          <w:rFonts w:ascii="Times New Roman" w:hAnsi="Times New Roman"/>
          <w:w w:val="104"/>
        </w:rPr>
        <w:t>相同</w:t>
      </w:r>
      <w:r>
        <w:rPr>
          <w:rFonts w:ascii="宋体" w:hAnsi="宋体"/>
          <w:w w:val="104"/>
        </w:rPr>
        <w:t>”</w:t>
      </w:r>
      <w:r>
        <w:rPr>
          <w:rFonts w:ascii="Times New Roman" w:hAnsi="Times New Roman"/>
          <w:w w:val="104"/>
        </w:rPr>
        <w:t>或</w:t>
      </w:r>
      <w:r>
        <w:rPr>
          <w:rFonts w:ascii="宋体" w:hAnsi="宋体"/>
          <w:w w:val="104"/>
        </w:rPr>
        <w:t>“</w:t>
      </w:r>
      <w:r>
        <w:rPr>
          <w:rFonts w:ascii="Times New Roman" w:hAnsi="Times New Roman"/>
          <w:w w:val="104"/>
        </w:rPr>
        <w:t>相反</w:t>
      </w:r>
      <w:r>
        <w:rPr>
          <w:rFonts w:ascii="宋体" w:hAnsi="宋体"/>
          <w:w w:val="104"/>
        </w:rPr>
        <w:t>”</w:t>
      </w:r>
      <w:r>
        <w:rPr>
          <w:rFonts w:ascii="Times New Roman" w:hAnsi="Times New Roman"/>
          <w:w w:val="104"/>
        </w:rPr>
        <w:t>)。 </w:t>
      </w:r>
    </w:p>
    <w:p w14:paraId="4D49412B">
      <w:pPr>
        <w:tabs>
          <w:tab w:val="left" w:pos="2127"/>
          <w:tab w:val="left" w:pos="4395"/>
          <w:tab w:val="left" w:pos="6521"/>
        </w:tabs>
        <w:spacing w:line="360" w:lineRule="auto"/>
        <w:rPr>
          <w:rFonts w:ascii="Times New Roman" w:hAnsi="Times New Roman"/>
        </w:rPr>
      </w:pPr>
      <w:r>
        <w:rPr>
          <w:rFonts w:ascii="Times New Roman" w:hAnsi="Times New Roman"/>
          <w:w w:val="104"/>
        </w:rPr>
        <w:t>(2)图像阴影为</w:t>
      </w:r>
      <w:r>
        <w:rPr>
          <w:rFonts w:ascii="Times New Roman" w:hAnsi="Times New Roman"/>
          <w:i/>
          <w:w w:val="104"/>
        </w:rPr>
        <w:t>I</w:t>
      </w:r>
      <w:r>
        <w:rPr>
          <w:rFonts w:ascii="Times New Roman" w:hAnsi="Times New Roman"/>
          <w:w w:val="104"/>
        </w:rPr>
        <w:t>-</w:t>
      </w:r>
      <w:r>
        <w:rPr>
          <w:rFonts w:ascii="Times New Roman" w:hAnsi="Times New Roman"/>
          <w:i/>
          <w:w w:val="104"/>
        </w:rPr>
        <w:t>t</w:t>
      </w:r>
      <w:r>
        <w:rPr>
          <w:rFonts w:ascii="Times New Roman" w:hAnsi="Times New Roman"/>
          <w:w w:val="104"/>
        </w:rPr>
        <w:t>曲线图像与对应时间轴所围成的面积，乙图中阴影部分的面积</w:t>
      </w:r>
      <w:r>
        <w:rPr>
          <w:rFonts w:ascii="Times New Roman" w:hAnsi="Times New Roman"/>
          <w:i/>
          <w:w w:val="104"/>
        </w:rPr>
        <w:t>S</w:t>
      </w:r>
      <w:r>
        <w:rPr>
          <w:rFonts w:ascii="Times New Roman" w:hAnsi="Times New Roman"/>
          <w:w w:val="104"/>
          <w:vertAlign w:val="subscript"/>
        </w:rPr>
        <w:t>1</w:t>
      </w:r>
      <w:r>
        <w:rPr>
          <w:rFonts w:ascii="Times New Roman" w:hAnsi="Times New Roman"/>
          <w:w w:val="104"/>
          <w:u w:val="single"/>
        </w:rPr>
        <w:t>　　　</w:t>
      </w:r>
      <w:r>
        <w:rPr>
          <w:rFonts w:ascii="Times New Roman" w:hAnsi="Times New Roman"/>
          <w:i/>
          <w:w w:val="104"/>
        </w:rPr>
        <w:t>S</w:t>
      </w:r>
      <w:r>
        <w:rPr>
          <w:rFonts w:ascii="Times New Roman" w:hAnsi="Times New Roman"/>
          <w:w w:val="104"/>
          <w:vertAlign w:val="subscript"/>
        </w:rPr>
        <w:t>2</w:t>
      </w:r>
      <w:r>
        <w:rPr>
          <w:rFonts w:ascii="Times New Roman" w:hAnsi="Times New Roman"/>
          <w:w w:val="104"/>
        </w:rPr>
        <w:t>(选填</w:t>
      </w:r>
      <w:r>
        <w:rPr>
          <w:rFonts w:ascii="宋体" w:hAnsi="宋体"/>
          <w:w w:val="104"/>
        </w:rPr>
        <w:t>“</w:t>
      </w:r>
      <w:r>
        <w:rPr>
          <w:rFonts w:ascii="Times New Roman" w:hAnsi="Times New Roman"/>
          <w:w w:val="104"/>
        </w:rPr>
        <w:t>&gt;</w:t>
      </w:r>
      <w:r>
        <w:rPr>
          <w:rFonts w:ascii="宋体" w:hAnsi="宋体"/>
          <w:w w:val="104"/>
        </w:rPr>
        <w:t>”“</w:t>
      </w:r>
      <w:r>
        <w:rPr>
          <w:rFonts w:ascii="Times New Roman" w:hAnsi="Times New Roman"/>
          <w:w w:val="104"/>
        </w:rPr>
        <w:t>&lt;</w:t>
      </w:r>
      <w:r>
        <w:rPr>
          <w:rFonts w:ascii="宋体" w:hAnsi="宋体"/>
          <w:w w:val="104"/>
        </w:rPr>
        <w:t>”</w:t>
      </w:r>
      <w:r>
        <w:rPr>
          <w:rFonts w:ascii="Times New Roman" w:hAnsi="Times New Roman"/>
          <w:w w:val="104"/>
        </w:rPr>
        <w:t>或</w:t>
      </w:r>
      <w:r>
        <w:rPr>
          <w:rFonts w:ascii="宋体" w:hAnsi="宋体"/>
          <w:w w:val="104"/>
        </w:rPr>
        <w:t>“</w:t>
      </w:r>
      <w:r>
        <w:rPr>
          <w:rFonts w:ascii="Times New Roman" w:hAnsi="Times New Roman"/>
          <w:w w:val="104"/>
        </w:rPr>
        <w:t>=</w:t>
      </w:r>
      <w:r>
        <w:rPr>
          <w:rFonts w:ascii="宋体" w:hAnsi="宋体"/>
          <w:w w:val="104"/>
        </w:rPr>
        <w:t>”</w:t>
      </w:r>
      <w:r>
        <w:rPr>
          <w:rFonts w:ascii="Times New Roman" w:hAnsi="Times New Roman"/>
          <w:w w:val="104"/>
        </w:rPr>
        <w:t>)。 </w:t>
      </w:r>
    </w:p>
    <w:p w14:paraId="289782C8">
      <w:pPr>
        <w:tabs>
          <w:tab w:val="left" w:pos="2127"/>
          <w:tab w:val="left" w:pos="4395"/>
          <w:tab w:val="left" w:pos="6521"/>
        </w:tabs>
        <w:spacing w:line="360" w:lineRule="auto"/>
        <w:rPr>
          <w:rFonts w:ascii="Times New Roman" w:hAnsi="Times New Roman"/>
        </w:rPr>
      </w:pPr>
      <w:r>
        <w:rPr>
          <w:rFonts w:ascii="Times New Roman" w:hAnsi="Times New Roman"/>
          <w:w w:val="104"/>
        </w:rPr>
        <w:t>(3)已知</w:t>
      </w:r>
      <w:r>
        <w:rPr>
          <w:rFonts w:ascii="Times New Roman" w:hAnsi="Times New Roman"/>
          <w:i/>
          <w:w w:val="104"/>
        </w:rPr>
        <w:t>S</w:t>
      </w:r>
      <w:r>
        <w:rPr>
          <w:rFonts w:ascii="Times New Roman" w:hAnsi="Times New Roman"/>
          <w:w w:val="104"/>
          <w:vertAlign w:val="subscript"/>
        </w:rPr>
        <w:t>1</w:t>
      </w:r>
      <w:r>
        <w:rPr>
          <w:rFonts w:ascii="Times New Roman" w:hAnsi="Times New Roman"/>
          <w:w w:val="104"/>
        </w:rPr>
        <w:t>=3.2 mA·s，则该电容器的电容值为</w:t>
      </w:r>
      <w:r>
        <w:rPr>
          <w:rFonts w:ascii="Times New Roman" w:hAnsi="Times New Roman"/>
          <w:w w:val="104"/>
          <w:u w:val="single"/>
        </w:rPr>
        <w:t>　　　</w:t>
      </w:r>
      <w:r>
        <w:rPr>
          <w:rFonts w:ascii="Times New Roman" w:hAnsi="Times New Roman"/>
          <w:w w:val="104"/>
        </w:rPr>
        <w:t xml:space="preserve"> F(保留两位有效数字)。 </w:t>
      </w:r>
    </w:p>
    <w:p w14:paraId="52C25772">
      <w:pPr>
        <w:tabs>
          <w:tab w:val="left" w:pos="2127"/>
          <w:tab w:val="left" w:pos="4395"/>
          <w:tab w:val="left" w:pos="6521"/>
        </w:tabs>
        <w:spacing w:line="360" w:lineRule="auto"/>
        <w:rPr>
          <w:rFonts w:ascii="Times New Roman" w:hAnsi="Times New Roman"/>
          <w:w w:val="104"/>
        </w:rPr>
      </w:pPr>
      <w:r>
        <w:rPr>
          <w:rFonts w:ascii="Times New Roman" w:hAnsi="Times New Roman"/>
          <w:w w:val="104"/>
        </w:rPr>
        <w:t>(4)由甲、乙两图可判断阻值</w:t>
      </w:r>
      <w:r>
        <w:rPr>
          <w:rFonts w:ascii="Times New Roman" w:hAnsi="Times New Roman"/>
          <w:i/>
          <w:w w:val="104"/>
        </w:rPr>
        <w:t>R</w:t>
      </w:r>
      <w:r>
        <w:rPr>
          <w:rFonts w:ascii="Times New Roman" w:hAnsi="Times New Roman"/>
          <w:w w:val="104"/>
          <w:vertAlign w:val="subscript"/>
        </w:rPr>
        <w:t>1</w:t>
      </w:r>
      <w:r>
        <w:rPr>
          <w:rFonts w:ascii="Times New Roman" w:hAnsi="Times New Roman"/>
          <w:w w:val="104"/>
          <w:u w:val="single"/>
        </w:rPr>
        <w:t>　　　</w:t>
      </w:r>
      <w:r>
        <w:rPr>
          <w:rFonts w:ascii="Times New Roman" w:hAnsi="Times New Roman"/>
          <w:i/>
          <w:w w:val="104"/>
        </w:rPr>
        <w:t>R</w:t>
      </w:r>
      <w:r>
        <w:rPr>
          <w:rFonts w:ascii="Times New Roman" w:hAnsi="Times New Roman"/>
          <w:w w:val="104"/>
          <w:vertAlign w:val="subscript"/>
        </w:rPr>
        <w:t>2</w:t>
      </w:r>
      <w:r>
        <w:rPr>
          <w:rFonts w:ascii="Times New Roman" w:hAnsi="Times New Roman"/>
          <w:w w:val="104"/>
        </w:rPr>
        <w:t>(选填</w:t>
      </w:r>
      <w:r>
        <w:rPr>
          <w:rFonts w:ascii="宋体" w:hAnsi="宋体"/>
          <w:w w:val="104"/>
        </w:rPr>
        <w:t>“</w:t>
      </w:r>
      <w:r>
        <w:rPr>
          <w:rFonts w:ascii="Times New Roman" w:hAnsi="Times New Roman"/>
          <w:w w:val="104"/>
        </w:rPr>
        <w:t>&gt;</w:t>
      </w:r>
      <w:r>
        <w:rPr>
          <w:rFonts w:ascii="宋体" w:hAnsi="宋体"/>
          <w:w w:val="104"/>
        </w:rPr>
        <w:t>”“</w:t>
      </w:r>
      <w:r>
        <w:rPr>
          <w:rFonts w:ascii="Times New Roman" w:hAnsi="Times New Roman"/>
          <w:w w:val="104"/>
        </w:rPr>
        <w:t>&lt;</w:t>
      </w:r>
      <w:r>
        <w:rPr>
          <w:rFonts w:ascii="宋体" w:hAnsi="宋体"/>
          <w:w w:val="104"/>
        </w:rPr>
        <w:t>”</w:t>
      </w:r>
      <w:r>
        <w:rPr>
          <w:rFonts w:ascii="Times New Roman" w:hAnsi="Times New Roman"/>
          <w:w w:val="104"/>
        </w:rPr>
        <w:t>或</w:t>
      </w:r>
      <w:r>
        <w:rPr>
          <w:rFonts w:ascii="宋体" w:hAnsi="宋体"/>
          <w:w w:val="104"/>
        </w:rPr>
        <w:t>“</w:t>
      </w:r>
      <w:r>
        <w:rPr>
          <w:rFonts w:ascii="Times New Roman" w:hAnsi="Times New Roman"/>
          <w:w w:val="104"/>
        </w:rPr>
        <w:t>=</w:t>
      </w:r>
      <w:r>
        <w:rPr>
          <w:rFonts w:ascii="宋体" w:hAnsi="宋体"/>
          <w:w w:val="104"/>
        </w:rPr>
        <w:t>”</w:t>
      </w:r>
      <w:r>
        <w:rPr>
          <w:rFonts w:ascii="Times New Roman" w:hAnsi="Times New Roman"/>
          <w:w w:val="104"/>
        </w:rPr>
        <w:t>)。</w:t>
      </w:r>
    </w:p>
    <w:p w14:paraId="6262B594">
      <w:pPr>
        <w:tabs>
          <w:tab w:val="left" w:pos="2127"/>
          <w:tab w:val="left" w:pos="4395"/>
          <w:tab w:val="left" w:pos="6521"/>
        </w:tabs>
        <w:spacing w:line="360" w:lineRule="auto"/>
        <w:rPr>
          <w:rFonts w:ascii="Times New Roman" w:hAnsi="Times New Roman"/>
        </w:rPr>
      </w:pPr>
      <w:r>
        <w:rPr>
          <w:rFonts w:hint="eastAsia" w:ascii="Times New Roman" w:hAnsi="Times New Roman"/>
        </w:rPr>
        <w:drawing>
          <wp:inline distT="0" distB="0" distL="0" distR="0">
            <wp:extent cx="5327650" cy="240665"/>
            <wp:effectExtent l="0" t="0" r="6350" b="698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14:paraId="319D7D74">
      <w:pPr>
        <w:pStyle w:val="23"/>
        <w:spacing w:line="360" w:lineRule="auto"/>
        <w:rPr>
          <w:rFonts w:ascii="Times New Roman" w:hAnsi="Times New Roman" w:eastAsia="楷体"/>
          <w:sz w:val="22"/>
          <w:szCs w:val="22"/>
        </w:rPr>
      </w:pPr>
      <w:r>
        <w:rPr>
          <w:rFonts w:ascii="Times New Roman" w:hAnsi="Times New Roman" w:eastAsia="楷体"/>
          <w:sz w:val="22"/>
          <w:szCs w:val="22"/>
        </w:rPr>
        <w:t>如图所示，研究电容器充放电的过程：</w:t>
      </w:r>
    </w:p>
    <w:p w14:paraId="17A5353A">
      <w:pPr>
        <w:pStyle w:val="23"/>
        <w:spacing w:line="360" w:lineRule="auto"/>
        <w:jc w:val="center"/>
        <w:rPr>
          <w:rFonts w:eastAsia="宋体"/>
          <w:sz w:val="22"/>
          <w:szCs w:val="22"/>
        </w:rPr>
      </w:pPr>
      <w:r>
        <w:rPr>
          <w:sz w:val="22"/>
          <w:szCs w:val="22"/>
        </w:rPr>
        <w:drawing>
          <wp:inline distT="0" distB="0" distL="0" distR="0">
            <wp:extent cx="934720" cy="828675"/>
            <wp:effectExtent l="0" t="0" r="0" b="9525"/>
            <wp:docPr id="86"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934720" cy="828675"/>
                    </a:xfrm>
                    <a:prstGeom prst="rect">
                      <a:avLst/>
                    </a:prstGeom>
                    <a:noFill/>
                    <a:ln>
                      <a:noFill/>
                    </a:ln>
                  </pic:spPr>
                </pic:pic>
              </a:graphicData>
            </a:graphic>
          </wp:inline>
        </w:drawing>
      </w:r>
    </w:p>
    <w:p w14:paraId="6F388281">
      <w:pPr>
        <w:pStyle w:val="23"/>
        <w:spacing w:line="360" w:lineRule="auto"/>
        <w:rPr>
          <w:rFonts w:ascii="Times New Roman" w:hAnsi="Times New Roman" w:eastAsia="宋体"/>
          <w:sz w:val="22"/>
          <w:szCs w:val="22"/>
        </w:rPr>
      </w:pPr>
      <w:r>
        <w:rPr>
          <w:rFonts w:hint="eastAsia" w:ascii="Times New Roman" w:hAnsi="Times New Roman" w:eastAsia="楷体"/>
          <w:sz w:val="22"/>
          <w:szCs w:val="22"/>
        </w:rPr>
        <w:t>(</w:t>
      </w:r>
      <w:r>
        <w:rPr>
          <w:rFonts w:ascii="Times New Roman" w:hAnsi="Times New Roman" w:eastAsia="宋体"/>
          <w:sz w:val="22"/>
          <w:szCs w:val="22"/>
        </w:rPr>
        <w:t>1</w:t>
      </w:r>
      <w:r>
        <w:rPr>
          <w:rFonts w:hint="eastAsia" w:ascii="Times New Roman" w:hAnsi="Times New Roman" w:eastAsia="楷体"/>
          <w:sz w:val="22"/>
          <w:szCs w:val="22"/>
        </w:rPr>
        <w:t>)</w:t>
      </w:r>
      <w:r>
        <w:rPr>
          <w:rFonts w:ascii="Times New Roman" w:hAnsi="Times New Roman" w:eastAsia="楷体"/>
          <w:sz w:val="22"/>
          <w:szCs w:val="22"/>
        </w:rPr>
        <w:t>电容器充电结束时，电容器两端的电压等于电源电压</w:t>
      </w:r>
      <w:r>
        <w:rPr>
          <w:rFonts w:hint="eastAsia" w:ascii="Times New Roman" w:hAnsi="Times New Roman" w:eastAsia="楷体"/>
          <w:sz w:val="22"/>
          <w:szCs w:val="22"/>
        </w:rPr>
        <w:t>(</w:t>
      </w:r>
      <w:r>
        <w:rPr>
          <w:rFonts w:ascii="Times New Roman" w:hAnsi="Times New Roman" w:eastAsia="楷体"/>
          <w:sz w:val="22"/>
          <w:szCs w:val="22"/>
        </w:rPr>
        <w:t>与</w:t>
      </w:r>
      <w:r>
        <w:rPr>
          <w:rFonts w:ascii="Times New Roman" w:hAnsi="Times New Roman" w:eastAsia="宋体"/>
          <w:i/>
          <w:sz w:val="22"/>
          <w:szCs w:val="22"/>
        </w:rPr>
        <w:t>R</w:t>
      </w:r>
      <w:r>
        <w:rPr>
          <w:rFonts w:ascii="Times New Roman" w:hAnsi="Times New Roman" w:eastAsia="宋体"/>
          <w:sz w:val="22"/>
          <w:szCs w:val="22"/>
          <w:vertAlign w:val="subscript"/>
        </w:rPr>
        <w:t>1</w:t>
      </w:r>
      <w:r>
        <w:rPr>
          <w:rFonts w:ascii="Times New Roman" w:hAnsi="Times New Roman" w:eastAsia="楷体"/>
          <w:sz w:val="22"/>
          <w:szCs w:val="22"/>
        </w:rPr>
        <w:t>阻值无关</w:t>
      </w:r>
      <w:r>
        <w:rPr>
          <w:rFonts w:hint="eastAsia" w:ascii="Times New Roman" w:hAnsi="Times New Roman" w:eastAsia="楷体"/>
          <w:sz w:val="22"/>
          <w:szCs w:val="22"/>
        </w:rPr>
        <w:t>)</w:t>
      </w:r>
      <w:r>
        <w:rPr>
          <w:rFonts w:ascii="Times New Roman" w:hAnsi="Times New Roman" w:eastAsia="楷体"/>
          <w:sz w:val="22"/>
          <w:szCs w:val="22"/>
        </w:rPr>
        <w:t>。</w:t>
      </w:r>
    </w:p>
    <w:p w14:paraId="7C9A5CF5">
      <w:pPr>
        <w:pStyle w:val="23"/>
        <w:spacing w:line="360" w:lineRule="auto"/>
        <w:rPr>
          <w:rFonts w:ascii="Times New Roman" w:hAnsi="Times New Roman" w:eastAsia="楷体"/>
          <w:sz w:val="22"/>
          <w:szCs w:val="22"/>
        </w:rPr>
      </w:pPr>
      <w:r>
        <w:rPr>
          <w:rFonts w:hint="eastAsia" w:ascii="Times New Roman" w:hAnsi="Times New Roman" w:eastAsia="楷体"/>
          <w:sz w:val="22"/>
          <w:szCs w:val="22"/>
        </w:rPr>
        <w:t>(</w:t>
      </w:r>
      <w:r>
        <w:rPr>
          <w:rFonts w:ascii="Times New Roman" w:hAnsi="Times New Roman" w:eastAsia="宋体"/>
          <w:sz w:val="22"/>
          <w:szCs w:val="22"/>
        </w:rPr>
        <w:t>2</w:t>
      </w:r>
      <w:r>
        <w:rPr>
          <w:rFonts w:hint="eastAsia" w:ascii="Times New Roman" w:hAnsi="Times New Roman" w:eastAsia="楷体"/>
          <w:sz w:val="22"/>
          <w:szCs w:val="22"/>
        </w:rPr>
        <w:t>)</w:t>
      </w:r>
      <w:r>
        <w:rPr>
          <w:rFonts w:ascii="Times New Roman" w:hAnsi="Times New Roman" w:eastAsia="楷体"/>
          <w:sz w:val="22"/>
          <w:szCs w:val="22"/>
        </w:rPr>
        <w:t>充电的电荷量与放电的电荷量相等，若与电容器串联的电阻阻值增大，充</w:t>
      </w:r>
      <w:r>
        <w:rPr>
          <w:rFonts w:hint="eastAsia" w:ascii="Times New Roman" w:hAnsi="Times New Roman" w:eastAsia="楷体"/>
          <w:sz w:val="22"/>
          <w:szCs w:val="22"/>
        </w:rPr>
        <w:t>(</w:t>
      </w:r>
      <w:r>
        <w:rPr>
          <w:rFonts w:ascii="Times New Roman" w:hAnsi="Times New Roman" w:eastAsia="楷体"/>
          <w:sz w:val="22"/>
          <w:szCs w:val="22"/>
        </w:rPr>
        <w:t>放</w:t>
      </w:r>
      <w:r>
        <w:rPr>
          <w:rFonts w:hint="eastAsia" w:ascii="Times New Roman" w:hAnsi="Times New Roman" w:eastAsia="楷体"/>
          <w:sz w:val="22"/>
          <w:szCs w:val="22"/>
        </w:rPr>
        <w:t>)</w:t>
      </w:r>
      <w:r>
        <w:rPr>
          <w:rFonts w:ascii="Times New Roman" w:hAnsi="Times New Roman" w:eastAsia="楷体"/>
          <w:sz w:val="22"/>
          <w:szCs w:val="22"/>
        </w:rPr>
        <w:t>电时间延长。</w:t>
      </w:r>
    </w:p>
    <w:p w14:paraId="57E0E2DF">
      <w:pPr>
        <w:pStyle w:val="23"/>
        <w:spacing w:line="360" w:lineRule="auto"/>
        <w:rPr>
          <w:rFonts w:hint="eastAsia" w:ascii="Times New Roman" w:hAnsi="Times New Roman" w:eastAsia="宋体"/>
          <w:sz w:val="22"/>
          <w:szCs w:val="22"/>
        </w:rPr>
      </w:pPr>
      <w:bookmarkStart w:id="0" w:name="_GoBack"/>
      <w:bookmarkEnd w:id="0"/>
    </w:p>
    <w:sectPr>
      <w:footnotePr>
        <w:numFmt w:val="decimalEnclosedCircleChinese"/>
      </w:footnotePr>
      <w:pgSz w:w="11907" w:h="16159"/>
      <w:pgMar w:top="850" w:right="850" w:bottom="850" w:left="85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EU-BZ">
    <w:altName w:val="宋体"/>
    <w:panose1 w:val="00000000000000000000"/>
    <w:charset w:val="86"/>
    <w:family w:val="script"/>
    <w:pitch w:val="default"/>
    <w:sig w:usb0="00000000" w:usb1="00000000" w:usb2="000A005E" w:usb3="00000000" w:csb0="003C0041" w:csb1="00000000"/>
  </w:font>
  <w:font w:name="Arial Unicode MS">
    <w:altName w:val="Arial"/>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3000509000000000000"/>
    <w:charset w:val="86"/>
    <w:family w:val="script"/>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方正书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720"/>
  <w:drawingGridHorizontalSpacing w:val="110"/>
  <w:displayHorizontalDrawingGridEvery w:val="2"/>
  <w:characterSpacingControl w:val="doNotCompress"/>
  <w:footnotePr>
    <w:numFmt w:val="decimalEnclosedCircleChinese"/>
  </w:foot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46D8"/>
    <w:rsid w:val="00021BFF"/>
    <w:rsid w:val="00031EE8"/>
    <w:rsid w:val="00043C97"/>
    <w:rsid w:val="00050A48"/>
    <w:rsid w:val="00051636"/>
    <w:rsid w:val="0006373F"/>
    <w:rsid w:val="00075369"/>
    <w:rsid w:val="000B623B"/>
    <w:rsid w:val="000B6BA8"/>
    <w:rsid w:val="000C7DE7"/>
    <w:rsid w:val="001302C8"/>
    <w:rsid w:val="0013235C"/>
    <w:rsid w:val="00152ED9"/>
    <w:rsid w:val="001C5ADF"/>
    <w:rsid w:val="002068E6"/>
    <w:rsid w:val="00292EDB"/>
    <w:rsid w:val="002F4D1E"/>
    <w:rsid w:val="002F6CAA"/>
    <w:rsid w:val="00326389"/>
    <w:rsid w:val="00327CDE"/>
    <w:rsid w:val="00384413"/>
    <w:rsid w:val="00391EE7"/>
    <w:rsid w:val="003B1CD3"/>
    <w:rsid w:val="00405CA5"/>
    <w:rsid w:val="00451408"/>
    <w:rsid w:val="00453349"/>
    <w:rsid w:val="00460FE4"/>
    <w:rsid w:val="00486645"/>
    <w:rsid w:val="0049669A"/>
    <w:rsid w:val="004A2F49"/>
    <w:rsid w:val="004A3019"/>
    <w:rsid w:val="004C6776"/>
    <w:rsid w:val="00510EA2"/>
    <w:rsid w:val="005156A7"/>
    <w:rsid w:val="005243A2"/>
    <w:rsid w:val="00535272"/>
    <w:rsid w:val="005518C6"/>
    <w:rsid w:val="00571FBD"/>
    <w:rsid w:val="0058578F"/>
    <w:rsid w:val="00596DB1"/>
    <w:rsid w:val="005B0CFB"/>
    <w:rsid w:val="005F127C"/>
    <w:rsid w:val="00606592"/>
    <w:rsid w:val="006C537E"/>
    <w:rsid w:val="006D6693"/>
    <w:rsid w:val="006E28A5"/>
    <w:rsid w:val="00720332"/>
    <w:rsid w:val="007D3E4D"/>
    <w:rsid w:val="007D3E90"/>
    <w:rsid w:val="007F5E4B"/>
    <w:rsid w:val="0081363D"/>
    <w:rsid w:val="00836A28"/>
    <w:rsid w:val="00842AB6"/>
    <w:rsid w:val="00843D10"/>
    <w:rsid w:val="00852825"/>
    <w:rsid w:val="008B3DDC"/>
    <w:rsid w:val="00905396"/>
    <w:rsid w:val="009217BC"/>
    <w:rsid w:val="00923856"/>
    <w:rsid w:val="00956812"/>
    <w:rsid w:val="00960619"/>
    <w:rsid w:val="00971BFB"/>
    <w:rsid w:val="00982738"/>
    <w:rsid w:val="009B5B4A"/>
    <w:rsid w:val="009D374C"/>
    <w:rsid w:val="009D7281"/>
    <w:rsid w:val="009F4C47"/>
    <w:rsid w:val="00A33F40"/>
    <w:rsid w:val="00AB315B"/>
    <w:rsid w:val="00B308B8"/>
    <w:rsid w:val="00B66B48"/>
    <w:rsid w:val="00B66FB3"/>
    <w:rsid w:val="00B82B68"/>
    <w:rsid w:val="00BA1E36"/>
    <w:rsid w:val="00BA7E22"/>
    <w:rsid w:val="00BF17CB"/>
    <w:rsid w:val="00C44E2D"/>
    <w:rsid w:val="00C47140"/>
    <w:rsid w:val="00C61E4D"/>
    <w:rsid w:val="00C6302E"/>
    <w:rsid w:val="00C82289"/>
    <w:rsid w:val="00C93E3A"/>
    <w:rsid w:val="00CB1D13"/>
    <w:rsid w:val="00CB693A"/>
    <w:rsid w:val="00D01BC0"/>
    <w:rsid w:val="00D3685C"/>
    <w:rsid w:val="00D81827"/>
    <w:rsid w:val="00D940E1"/>
    <w:rsid w:val="00E05032"/>
    <w:rsid w:val="00E336E3"/>
    <w:rsid w:val="00E5427A"/>
    <w:rsid w:val="00E629AC"/>
    <w:rsid w:val="00E93DC0"/>
    <w:rsid w:val="00E96459"/>
    <w:rsid w:val="00EB4538"/>
    <w:rsid w:val="00EE2731"/>
    <w:rsid w:val="00F043AD"/>
    <w:rsid w:val="00F2499B"/>
    <w:rsid w:val="00F81A0E"/>
    <w:rsid w:val="00FA57C3"/>
    <w:rsid w:val="00FC4922"/>
    <w:rsid w:val="3A7D2466"/>
  </w:rsids>
  <m:mathPr>
    <m:mathFont m:val="Cambria Math"/>
    <m:brkBin m:val="before"/>
    <m:brkBinSub m:val="--"/>
    <m:smallFrac m:val="0"/>
    <m:dispDef/>
    <m:lMargin m:val="0"/>
    <m:rMargin m:val="0"/>
    <m:defJc m:val="centerGroup"/>
    <m:wrapIndent m:val="1440"/>
    <m:intLim m:val="subSup"/>
    <m:naryLim m:val="undOvr"/>
  </m:mathPr>
  <w:attachedSchema w:val="http://www.founder.com/pam"/>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NEU-BZ"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Calibri" w:hAnsi="NEU-BZ" w:eastAsia="宋体" w:cs="Times New Roman"/>
      <w:sz w:val="22"/>
      <w:szCs w:val="22"/>
      <w:lang w:val="en-US" w:eastAsia="zh-CN" w:bidi="ar-SA"/>
    </w:rPr>
  </w:style>
  <w:style w:type="paragraph" w:styleId="2">
    <w:name w:val="heading 2"/>
    <w:basedOn w:val="1"/>
    <w:next w:val="1"/>
    <w:link w:val="26"/>
    <w:unhideWhenUsed/>
    <w:qFormat/>
    <w:uiPriority w:val="9"/>
    <w:pPr>
      <w:keepNext/>
      <w:keepLines/>
      <w:spacing w:before="260" w:after="260" w:line="416" w:lineRule="auto"/>
      <w:jc w:val="center"/>
      <w:outlineLvl w:val="1"/>
    </w:pPr>
    <w:rPr>
      <w:rFonts w:ascii="Times New Roman" w:hAnsi="Times New Roman"/>
      <w:b/>
      <w:bCs/>
      <w:sz w:val="32"/>
      <w:szCs w:val="32"/>
    </w:rPr>
  </w:style>
  <w:style w:type="character" w:default="1" w:styleId="11">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alloon Text"/>
    <w:basedOn w:val="4"/>
    <w:link w:val="16"/>
    <w:semiHidden/>
    <w:unhideWhenUsed/>
    <w:uiPriority w:val="99"/>
    <w:rPr>
      <w:rFonts w:ascii="Tahoma" w:hAnsi="Tahoma" w:cs="Tahoma"/>
      <w:sz w:val="16"/>
      <w:szCs w:val="16"/>
    </w:rPr>
  </w:style>
  <w:style w:type="paragraph" w:customStyle="1" w:styleId="4">
    <w:name w:val="_Style 4"/>
    <w:qFormat/>
    <w:uiPriority w:val="0"/>
    <w:rPr>
      <w:rFonts w:ascii="Calibri" w:hAnsi="NEU-BZ" w:eastAsia="宋体" w:cs="Times New Roman"/>
      <w:sz w:val="22"/>
      <w:szCs w:val="22"/>
      <w:lang w:val="en-US" w:eastAsia="zh-CN" w:bidi="ar-SA"/>
    </w:rPr>
  </w:style>
  <w:style w:type="paragraph" w:styleId="5">
    <w:name w:val="footer"/>
    <w:basedOn w:val="4"/>
    <w:link w:val="14"/>
    <w:unhideWhenUsed/>
    <w:uiPriority w:val="99"/>
    <w:pPr>
      <w:tabs>
        <w:tab w:val="center" w:pos="4513"/>
        <w:tab w:val="right" w:pos="9026"/>
      </w:tabs>
    </w:pPr>
  </w:style>
  <w:style w:type="paragraph" w:styleId="6">
    <w:name w:val="header"/>
    <w:basedOn w:val="4"/>
    <w:link w:val="13"/>
    <w:unhideWhenUsed/>
    <w:uiPriority w:val="99"/>
    <w:pPr>
      <w:tabs>
        <w:tab w:val="center" w:pos="4513"/>
        <w:tab w:val="right" w:pos="9026"/>
      </w:tabs>
    </w:pPr>
  </w:style>
  <w:style w:type="paragraph" w:styleId="7">
    <w:name w:val="footnote text"/>
    <w:basedOn w:val="4"/>
    <w:link w:val="21"/>
    <w:semiHidden/>
    <w:unhideWhenUsed/>
    <w:uiPriority w:val="99"/>
    <w:pPr>
      <w:snapToGrid w:val="0"/>
    </w:pPr>
    <w:rPr>
      <w:sz w:val="18"/>
      <w:szCs w:val="18"/>
    </w:rPr>
  </w:style>
  <w:style w:type="table" w:styleId="9">
    <w:name w:val="Table Grid"/>
    <w:basedOn w:val="8"/>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10">
    <w:name w:val="Light Shading Accent 3"/>
    <w:basedOn w:val="8"/>
    <w:qFormat/>
    <w:uiPriority w:val="60"/>
    <w:rPr>
      <w:color w:val="76923C"/>
    </w:rPr>
    <w:tblPr>
      <w:tblBorders>
        <w:top w:val="single" w:color="9BBB59" w:sz="8" w:space="0"/>
        <w:bottom w:val="single" w:color="9BBB59"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12">
    <w:name w:val="footnote reference"/>
    <w:semiHidden/>
    <w:unhideWhenUsed/>
    <w:uiPriority w:val="99"/>
    <w:rPr>
      <w:vertAlign w:val="superscript"/>
    </w:rPr>
  </w:style>
  <w:style w:type="character" w:customStyle="1" w:styleId="13">
    <w:name w:val="页眉 Char"/>
    <w:basedOn w:val="11"/>
    <w:link w:val="6"/>
    <w:uiPriority w:val="99"/>
  </w:style>
  <w:style w:type="character" w:customStyle="1" w:styleId="14">
    <w:name w:val="页脚 Char"/>
    <w:basedOn w:val="11"/>
    <w:link w:val="5"/>
    <w:qFormat/>
    <w:uiPriority w:val="99"/>
  </w:style>
  <w:style w:type="paragraph" w:styleId="15">
    <w:name w:val="List Paragraph"/>
    <w:basedOn w:val="4"/>
    <w:qFormat/>
    <w:uiPriority w:val="34"/>
    <w:pPr>
      <w:ind w:left="720"/>
      <w:contextualSpacing/>
    </w:pPr>
  </w:style>
  <w:style w:type="character" w:customStyle="1" w:styleId="16">
    <w:name w:val="批注框文本 Char"/>
    <w:link w:val="3"/>
    <w:semiHidden/>
    <w:uiPriority w:val="99"/>
    <w:rPr>
      <w:rFonts w:ascii="Tahoma" w:hAnsi="Tahoma" w:cs="Tahoma"/>
      <w:sz w:val="16"/>
      <w:szCs w:val="16"/>
    </w:rPr>
  </w:style>
  <w:style w:type="paragraph" w:styleId="17">
    <w:name w:val="Quote"/>
    <w:basedOn w:val="4"/>
    <w:next w:val="4"/>
    <w:link w:val="18"/>
    <w:qFormat/>
    <w:uiPriority w:val="29"/>
    <w:rPr>
      <w:i/>
      <w:iCs/>
      <w:color w:val="000000"/>
    </w:rPr>
  </w:style>
  <w:style w:type="character" w:customStyle="1" w:styleId="18">
    <w:name w:val="引用 Char"/>
    <w:link w:val="17"/>
    <w:uiPriority w:val="29"/>
    <w:rPr>
      <w:i/>
      <w:iCs/>
      <w:color w:val="000000"/>
    </w:rPr>
  </w:style>
  <w:style w:type="paragraph" w:customStyle="1" w:styleId="19">
    <w:name w:val="MTDisplayEquation"/>
    <w:basedOn w:val="4"/>
    <w:next w:val="4"/>
    <w:link w:val="20"/>
    <w:qFormat/>
    <w:uiPriority w:val="0"/>
    <w:pPr>
      <w:tabs>
        <w:tab w:val="center" w:pos="4160"/>
        <w:tab w:val="right" w:pos="8300"/>
      </w:tabs>
    </w:pPr>
  </w:style>
  <w:style w:type="character" w:customStyle="1" w:styleId="20">
    <w:name w:val="MTDisplayEquation Char"/>
    <w:basedOn w:val="11"/>
    <w:link w:val="19"/>
    <w:qFormat/>
    <w:uiPriority w:val="0"/>
  </w:style>
  <w:style w:type="character" w:customStyle="1" w:styleId="21">
    <w:name w:val="脚注文本 Char"/>
    <w:link w:val="7"/>
    <w:semiHidden/>
    <w:qFormat/>
    <w:uiPriority w:val="99"/>
    <w:rPr>
      <w:sz w:val="18"/>
      <w:szCs w:val="18"/>
    </w:rPr>
  </w:style>
  <w:style w:type="paragraph" w:customStyle="1" w:styleId="22">
    <w:name w:val="[基本段落]"/>
    <w:basedOn w:val="23"/>
    <w:uiPriority w:val="0"/>
    <w:rPr>
      <w:rFonts w:eastAsia="宋体"/>
    </w:rPr>
  </w:style>
  <w:style w:type="paragraph" w:customStyle="1" w:styleId="23">
    <w:name w:val="[系统文字]"/>
    <w:uiPriority w:val="0"/>
    <w:pPr>
      <w:jc w:val="both"/>
    </w:pPr>
    <w:rPr>
      <w:rFonts w:ascii="NEU-BZ" w:hAnsi="NEU-BZ" w:eastAsia="方正书宋_GBK" w:cs="Times New Roman"/>
      <w:color w:val="000000"/>
      <w:sz w:val="21"/>
      <w:szCs w:val="21"/>
      <w:lang w:val="en-US" w:eastAsia="zh-CN" w:bidi="ar-SA"/>
    </w:rPr>
  </w:style>
  <w:style w:type="paragraph" w:customStyle="1" w:styleId="24">
    <w:name w:val="Title 2"/>
    <w:basedOn w:val="1"/>
    <w:uiPriority w:val="0"/>
    <w:pPr>
      <w:jc w:val="center"/>
      <w:outlineLvl w:val="3"/>
    </w:pPr>
    <w:rPr>
      <w:rFonts w:eastAsia="方正小标宋_GBK"/>
      <w:sz w:val="36"/>
      <w:szCs w:val="36"/>
    </w:rPr>
  </w:style>
  <w:style w:type="paragraph" w:customStyle="1" w:styleId="25">
    <w:name w:val="Title 3"/>
    <w:basedOn w:val="1"/>
    <w:uiPriority w:val="0"/>
    <w:pPr>
      <w:jc w:val="center"/>
      <w:outlineLvl w:val="4"/>
    </w:pPr>
    <w:rPr>
      <w:rFonts w:eastAsia="幼圆"/>
      <w:sz w:val="32"/>
      <w:szCs w:val="32"/>
    </w:rPr>
  </w:style>
  <w:style w:type="character" w:customStyle="1" w:styleId="26">
    <w:name w:val="标题 2 Char"/>
    <w:link w:val="2"/>
    <w:uiPriority w:val="9"/>
    <w:rPr>
      <w:rFonts w:ascii="Times New Roman" w:hAnsi="Times New Roman" w:eastAsia="宋体" w:cs="Times New Roman"/>
      <w:b/>
      <w:bCs/>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3" Type="http://schemas.openxmlformats.org/officeDocument/2006/relationships/fontTable" Target="fontTable.xml"/><Relationship Id="rId22" Type="http://schemas.openxmlformats.org/officeDocument/2006/relationships/customXml" Target="../customXml/item4.xml"/><Relationship Id="rId21" Type="http://schemas.openxmlformats.org/officeDocument/2006/relationships/customXml" Target="../customXml/item3.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tiff"/><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dp:LabelRoot xmlns:dp="http://www.founder.com/2010/digitalPublish/labelTree" tagType="contentCtrl">
</dp:LabelRoot>
</file>

<file path=customXml/item3.xml><?xml version="1.0" encoding="utf-8"?>
<cxp:PackageInfo xmlns:cxp="http://www.founder.com/2010/customXmlParts">
  <LabelTrees>
    <LabelTree customXmlPartId="{4B3307D3-B2C9-4FF8-8CBB-8B9570B3AA04}"/>
  </LabelTrees>
</cxp:PackageInfo>
</file>

<file path=customXml/item4.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74B55BFC-8D66-4ED7-B176-AE94091F542A}">
  <ds:schemaRefs/>
</ds:datastoreItem>
</file>

<file path=customXml/itemProps2.xml><?xml version="1.0" encoding="utf-8"?>
<ds:datastoreItem xmlns:ds="http://schemas.openxmlformats.org/officeDocument/2006/customXml" ds:itemID="{4B3307D3-B2C9-4FF8-8CBB-8B9570B3AA04}">
  <ds:schemaRefs/>
</ds:datastoreItem>
</file>

<file path=customXml/itemProps3.xml><?xml version="1.0" encoding="utf-8"?>
<ds:datastoreItem xmlns:ds="http://schemas.openxmlformats.org/officeDocument/2006/customXml" ds:itemID="{A6139CF6-5931-4AE5-A712-2A5998365C5A}">
  <ds:schemaRefs/>
</ds:datastoreItem>
</file>

<file path=customXml/itemProps4.xml><?xml version="1.0" encoding="utf-8"?>
<ds:datastoreItem xmlns:ds="http://schemas.openxmlformats.org/officeDocument/2006/customXml" ds:itemID="{F8788689-C533-4448-945B-12F4B397B557}">
  <ds:schemaRefs/>
</ds:datastoreItem>
</file>

<file path=docProps/app.xml><?xml version="1.0" encoding="utf-8"?>
<Properties xmlns="http://schemas.openxmlformats.org/officeDocument/2006/extended-properties" xmlns:vt="http://schemas.openxmlformats.org/officeDocument/2006/docPropsVTypes">
  <Template>Normal.dotm</Template>
  <Company>Intergen Ltd</Company>
  <Pages>5</Pages>
  <Words>2695</Words>
  <Characters>3288</Characters>
  <Lines>26</Lines>
  <Paragraphs>7</Paragraphs>
  <TotalTime>102</TotalTime>
  <ScaleCrop>false</ScaleCrop>
  <LinksUpToDate>false</LinksUpToDate>
  <CharactersWithSpaces>3564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2025-04-10T01:17:00Z</dcterms:created>
  <dc:creator>Administrator</dc:creator>
  <cp:lastModifiedBy>朱心</cp:lastModifiedBy>
  <dcterms:modified xsi:type="dcterms:W3CDTF">2025-10-11T15:30:57Z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eyJoZGlkIjoiODc3Y2Q3OTUxNGIzNzEyMmJjYmU0N2Q3MzBmNTI2ZDciLCJ1c2VySWQiOiIxMjMyMTIyMDE4In0=</vt:lpwstr>
  </property>
  <property fmtid="{D5CDD505-2E9C-101B-9397-08002B2CF9AE}" pid="3" name="KSOProductBuildVer">
    <vt:lpwstr>2052-12.1.0.22529</vt:lpwstr>
  </property>
  <property fmtid="{D5CDD505-2E9C-101B-9397-08002B2CF9AE}" pid="4" name="ICV">
    <vt:lpwstr>DA924E406D414AC7A7997C4589B801A5_13</vt:lpwstr>
  </property>
</Properties>
</file>